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CD02" w14:textId="77777777" w:rsidR="00CD25DF" w:rsidRPr="00167740" w:rsidRDefault="00CD25DF" w:rsidP="00CD25DF">
      <w:pPr>
        <w:pStyle w:val="Ttol1"/>
        <w:jc w:val="both"/>
        <w:rPr>
          <w:rFonts w:ascii="Calibri" w:hAnsi="Calibri" w:cs="Calibri"/>
          <w:b/>
          <w:bCs/>
          <w:color w:val="auto"/>
          <w:sz w:val="22"/>
          <w:szCs w:val="22"/>
          <w:u w:val="single"/>
        </w:rPr>
      </w:pPr>
      <w:bookmarkStart w:id="0" w:name="_Toc244515510"/>
      <w:bookmarkStart w:id="1" w:name="_Toc244517855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>ANNEX 9. CLASSIFICACIÓ DE LES INFRACCIONS</w:t>
      </w:r>
      <w:bookmarkEnd w:id="0"/>
      <w:bookmarkEnd w:id="1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 xml:space="preserve"> </w:t>
      </w:r>
    </w:p>
    <w:p w14:paraId="66F3B3A5" w14:textId="77777777" w:rsidR="00CD25DF" w:rsidRPr="008E7F64" w:rsidRDefault="00CD25DF" w:rsidP="00CD25DF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2E3FACC4" w14:textId="77777777" w:rsidR="00CD25DF" w:rsidRPr="008E7F64" w:rsidRDefault="00CD25DF" w:rsidP="00CD25DF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Es consideren </w:t>
      </w:r>
      <w:r w:rsidRPr="008E7F64">
        <w:rPr>
          <w:rFonts w:ascii="Calibri" w:hAnsi="Calibri" w:cs="Calibri"/>
          <w:color w:val="auto"/>
          <w:sz w:val="22"/>
          <w:szCs w:val="22"/>
          <w:u w:val="single"/>
          <w:lang w:val="ca-ES"/>
        </w:rPr>
        <w:t>infraccions molt greus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</w:p>
    <w:p w14:paraId="5BD39D4A" w14:textId="77777777" w:rsidR="00CD25DF" w:rsidRPr="008E7F64" w:rsidRDefault="00CD25DF" w:rsidP="00CD25DF">
      <w:pPr>
        <w:pStyle w:val="Default"/>
        <w:ind w:left="72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04601AA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L’incompliment reiterat de les obligacions i requisits de tot ordre (inclou les obligacions mediambientals, socials i laborals), legal, formal o temporal establerts en el present Plec de clàusules, el PPT i l’oferta si escau. S’esmenten a títol d’exemple:</w:t>
      </w:r>
    </w:p>
    <w:p w14:paraId="78BAB22B" w14:textId="77777777" w:rsidR="00CD25DF" w:rsidRPr="008E7F64" w:rsidRDefault="00CD25DF" w:rsidP="00CD25DF">
      <w:pPr>
        <w:pStyle w:val="Default"/>
        <w:ind w:left="1416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</w:p>
    <w:p w14:paraId="2D520C8A" w14:textId="77777777" w:rsidR="00CD25DF" w:rsidRPr="008E7F64" w:rsidRDefault="00CD25DF" w:rsidP="00CD25DF">
      <w:pPr>
        <w:pStyle w:val="Default"/>
        <w:ind w:left="1416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•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ab/>
        <w:t>L’incompliment o els endarreriments reiterats en el pagament de salaris o l’aplicació de condicions salarials inferiors a les derivades dels convenis d’aplicació que sigui greu i dolosa.</w:t>
      </w:r>
    </w:p>
    <w:p w14:paraId="3FB7D9C8" w14:textId="77777777" w:rsidR="00CD25DF" w:rsidRPr="008E7F64" w:rsidRDefault="00CD25DF" w:rsidP="00CD25DF">
      <w:pPr>
        <w:pStyle w:val="Default"/>
        <w:ind w:left="1416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•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ab/>
        <w:t>L’incompliment reiterat de les consideracions socials , laborals i ambientals que, com a criteris de solvència o d’adjudicació s’estableixin, llevat que als apartats corresponents del Quadre de Característiques es classifiquin de forma diferent.</w:t>
      </w:r>
    </w:p>
    <w:p w14:paraId="0B2AAAB9" w14:textId="77777777" w:rsidR="00CD25DF" w:rsidRPr="008E7F64" w:rsidRDefault="00CD25DF" w:rsidP="00CD25DF">
      <w:pPr>
        <w:pStyle w:val="Default"/>
        <w:ind w:left="1416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</w:p>
    <w:p w14:paraId="7EE41F3E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La resistència reiterada als requeriments efectuats per l’Administració, o el seu incompliment, quan produeixi un perjudici molt greu als interessos municipals.</w:t>
      </w:r>
    </w:p>
    <w:p w14:paraId="108F9BE4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La utilització reiterada de sistemes de treball, elements, material, o màquines diferents als autoritzats al PCAP, el PPT i l’oferta, si escau.</w:t>
      </w:r>
    </w:p>
    <w:p w14:paraId="705C31CC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Realitzar prestacions diferents a les autoritzades.</w:t>
      </w:r>
    </w:p>
    <w:p w14:paraId="1BEF5340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La reiteració en la comissió de faltes greus. A aquests efectes, s’entén per reiteració la comissió d’una mateixa falta més de tres vegades al llarg de la vigència de l’autorització inicial i de les seves pròrrogues.</w:t>
      </w:r>
    </w:p>
    <w:p w14:paraId="475986B5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Manca de subscripció o de vigència de la pòlissa d’assegurança que l’adjudicatari ha de tenir concertada.</w:t>
      </w:r>
    </w:p>
    <w:p w14:paraId="50919A08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Negar-se l’adjudicatari a complimentar els requeriments d’informació que l’Ajuntament li formuli.</w:t>
      </w:r>
    </w:p>
    <w:p w14:paraId="7CCEFB4C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La cessió del contracte a tercers, sens autorització d’acord amb el previst en aquest Plec.</w:t>
      </w:r>
    </w:p>
    <w:p w14:paraId="2B8B7D02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L’incompliment de les obligacions essencials i especials del contracte previstes al Quadre de característiques inclosa en el Plec i amb les condicions que s’especifiquen al Quadre de característiques. </w:t>
      </w:r>
    </w:p>
    <w:p w14:paraId="21478CDF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Quan la subcontractació sigui</w:t>
      </w:r>
      <w:r w:rsidRPr="008E7F64">
        <w:rPr>
          <w:rFonts w:ascii="Calibri" w:eastAsia="Arial MT" w:hAnsi="Calibri" w:cs="Calibri"/>
          <w:color w:val="auto"/>
          <w:sz w:val="22"/>
          <w:szCs w:val="22"/>
          <w:lang w:val="ca-ES" w:eastAsia="en-US"/>
          <w14:ligatures w14:val="none"/>
        </w:rPr>
        <w:t xml:space="preserve"> 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gual o superior al 30% del preu d’adjudicació o pressupost base de licitació si no es poden determinar el nombre màxim d’unitats de servei a prestar, l’incompliment de l’obligació de l’empresa de remetre la relació detallada de </w:t>
      </w:r>
      <w:proofErr w:type="spellStart"/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subcontractistes</w:t>
      </w:r>
      <w:proofErr w:type="spellEnd"/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o subministradors i justificant de compliment dels pagament.</w:t>
      </w:r>
    </w:p>
    <w:p w14:paraId="50F40401" w14:textId="77777777" w:rsidR="00CD25DF" w:rsidRPr="008E7F64" w:rsidRDefault="00CD25DF" w:rsidP="00CD25DF">
      <w:pPr>
        <w:pStyle w:val="Default"/>
        <w:numPr>
          <w:ilvl w:val="1"/>
          <w:numId w:val="2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L’incompliment de subministrar la informació que li sigui requerida relativa a les condicions dels contractes de les persones treballadores que hagin de ser objecte de subrogació.</w:t>
      </w:r>
    </w:p>
    <w:p w14:paraId="3C4A6EA8" w14:textId="77777777" w:rsidR="00CD25DF" w:rsidRPr="008E7F64" w:rsidRDefault="00CD25DF" w:rsidP="00CD25DF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E840A23" w14:textId="77777777" w:rsidR="00CD25DF" w:rsidRPr="008E7F64" w:rsidRDefault="00CD25DF" w:rsidP="00CD25DF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Es consideren </w:t>
      </w:r>
      <w:r w:rsidRPr="008E7F64">
        <w:rPr>
          <w:rFonts w:ascii="Calibri" w:hAnsi="Calibri" w:cs="Calibri"/>
          <w:color w:val="auto"/>
          <w:sz w:val="22"/>
          <w:szCs w:val="22"/>
          <w:u w:val="single"/>
          <w:lang w:val="ca-ES"/>
        </w:rPr>
        <w:t>infraccions greus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</w:p>
    <w:p w14:paraId="7A8591CA" w14:textId="77777777" w:rsidR="00CD25DF" w:rsidRPr="008E7F64" w:rsidRDefault="00CD25DF" w:rsidP="00CD25DF">
      <w:pPr>
        <w:pStyle w:val="Default"/>
        <w:ind w:left="72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7136F19C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L’incompliment de les obligacions i requisits de tot ordre (inclou les obligacions mediambientals, socials i laborals), legal, formal o temporal establerts en el present Plec de clàusules, el PPT i l’oferta, si escau. S’esmenten a títol d’exemple: </w:t>
      </w:r>
    </w:p>
    <w:p w14:paraId="63DFD7FE" w14:textId="77777777" w:rsidR="00CD25DF" w:rsidRPr="008E7F64" w:rsidRDefault="00CD25DF" w:rsidP="00CD25DF">
      <w:pPr>
        <w:pStyle w:val="Default"/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D6E21E3" w14:textId="77777777" w:rsidR="00CD25DF" w:rsidRPr="008E7F64" w:rsidRDefault="00CD25DF" w:rsidP="00CD25DF">
      <w:pPr>
        <w:pStyle w:val="Default"/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•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ab/>
        <w:t>L’incompliment o els endarreriments en el pagament de salaris o l’aplicació de condicions salarials inferiors a les derivades dels convenis d’aplicació .</w:t>
      </w:r>
    </w:p>
    <w:p w14:paraId="2516C98C" w14:textId="77777777" w:rsidR="00CD25DF" w:rsidRPr="008E7F64" w:rsidRDefault="00CD25DF" w:rsidP="00CD25DF">
      <w:pPr>
        <w:pStyle w:val="Default"/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•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ab/>
        <w:t xml:space="preserve">L’incompliment de les consideracions socials , laborals i ambientals que, com a criteris de solvència o d’adjudicació s’estableixin, llevat que als apartats corresponents del Quadre de Característiques es classifiquin de forma diferent </w:t>
      </w:r>
    </w:p>
    <w:p w14:paraId="763ECFA8" w14:textId="77777777" w:rsidR="00CD25DF" w:rsidRPr="008E7F64" w:rsidRDefault="00CD25DF" w:rsidP="00CD25DF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2B14B07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La resistència als requeriments efectuats per l’Administració, o el seu incompliment, quan produeixi un perjudici greu als interessos municipals o de tercers.</w:t>
      </w:r>
    </w:p>
    <w:p w14:paraId="46983411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La utilització de sistemes de treball, elements, materials, o màquines diferents als autoritzats en aquest Plec de clàusules, oferta i PPT.</w:t>
      </w:r>
    </w:p>
    <w:p w14:paraId="581258ED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La resistència als requeriments efectuats per l’Administració, o el seu incompliment. </w:t>
      </w:r>
    </w:p>
    <w:p w14:paraId="52EA5363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Tres faltes lleus equivaldran a una de greu.</w:t>
      </w:r>
    </w:p>
    <w:p w14:paraId="028DEE43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L’incompliment dels serveis mínims dictats per l’autoritat competent en cas de vaga. </w:t>
      </w:r>
    </w:p>
    <w:p w14:paraId="19FA2608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La manca de reposició, de substitució o d’ampliació quan correspongui de part de la maquinària i estris afectats al servei, sempre que aquesta omissió no impedeixi l’execució de les tasques essencials del servei. </w:t>
      </w:r>
    </w:p>
    <w:p w14:paraId="2C91C266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Manca de presentació a l’Ajuntament, durant dues o més setmanes, dels els requeriments d’informació que l’Ajuntament li formuli.</w:t>
      </w:r>
    </w:p>
    <w:p w14:paraId="6EDB8417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L’incompliment de les obligacions especials previstes al Quadre de característiques inclòs en el Plec que no siguin considerades molt greus.</w:t>
      </w:r>
    </w:p>
    <w:p w14:paraId="766759AB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L’incompliment de l’obligació d’informació sobre les condicions de subrogació en contractes de treball.</w:t>
      </w:r>
    </w:p>
    <w:p w14:paraId="75E7E3F0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L’incompliment de l’obligació de l’empresa de remetre la relació detallada de </w:t>
      </w:r>
      <w:proofErr w:type="spellStart"/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subcontractistes</w:t>
      </w:r>
      <w:proofErr w:type="spellEnd"/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o subministradors i justificant de compliment dels pagament, prevista a la clàusula 36 d’aquest Plec i l’apartat L del Quadre de Característiques.</w:t>
      </w:r>
    </w:p>
    <w:p w14:paraId="5C2060E7" w14:textId="77777777" w:rsidR="00CD25DF" w:rsidRPr="008E7F64" w:rsidRDefault="00CD25DF" w:rsidP="00CD25DF">
      <w:pPr>
        <w:pStyle w:val="Default"/>
        <w:numPr>
          <w:ilvl w:val="1"/>
          <w:numId w:val="1"/>
        </w:numPr>
        <w:ind w:left="1418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La manca de presentació de la documentació requerida en matèria de seguretat i salut abans de la signatura del contracte o durant la seva execució. Si aquest incompliment es reiterat es transformarà en infracció molt greu i podrà donar lloc a la resolució contractual. </w:t>
      </w:r>
    </w:p>
    <w:p w14:paraId="61325B5A" w14:textId="77777777" w:rsidR="00CD25DF" w:rsidRPr="008E7F64" w:rsidRDefault="00CD25DF" w:rsidP="00CD25DF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3E778F0" w14:textId="77777777" w:rsidR="00CD25DF" w:rsidRPr="008E7F64" w:rsidRDefault="00CD25DF" w:rsidP="00CD25DF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Es consideren </w:t>
      </w:r>
      <w:r w:rsidRPr="008E7F64">
        <w:rPr>
          <w:rFonts w:ascii="Calibri" w:hAnsi="Calibri" w:cs="Calibri"/>
          <w:color w:val="auto"/>
          <w:sz w:val="22"/>
          <w:szCs w:val="22"/>
          <w:u w:val="single"/>
          <w:lang w:val="ca-ES"/>
        </w:rPr>
        <w:t>infraccions lleus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:</w:t>
      </w:r>
    </w:p>
    <w:p w14:paraId="421788F2" w14:textId="77777777" w:rsidR="00CD25DF" w:rsidRPr="008E7F64" w:rsidRDefault="00CD25DF" w:rsidP="00CD25DF">
      <w:pPr>
        <w:pStyle w:val="Default"/>
        <w:ind w:left="72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BED8C20" w14:textId="77777777" w:rsidR="00CD25DF" w:rsidRPr="008E7F64" w:rsidRDefault="00CD25DF" w:rsidP="00CD25DF">
      <w:pPr>
        <w:pStyle w:val="Default"/>
        <w:numPr>
          <w:ilvl w:val="0"/>
          <w:numId w:val="4"/>
        </w:numPr>
        <w:ind w:left="1418" w:hanging="567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Qualsevol altra acció o omissió que no estigui expressament prevista en aquest annexi que suposi una infracció de les disposicions d’aquest plec o el PPT i que no hagi estat tipificada com a greu o molt greu. </w:t>
      </w:r>
    </w:p>
    <w:p w14:paraId="032563CC" w14:textId="77777777" w:rsidR="00CD25DF" w:rsidRPr="008E7F64" w:rsidRDefault="00CD25DF" w:rsidP="00CD25DF">
      <w:pPr>
        <w:pStyle w:val="Default"/>
        <w:numPr>
          <w:ilvl w:val="0"/>
          <w:numId w:val="4"/>
        </w:numPr>
        <w:ind w:left="1418" w:hanging="567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L’incompliment de caràcter lleu de les obligacions laborals i socials respecte del seu personal adscrit al servei. </w:t>
      </w:r>
    </w:p>
    <w:p w14:paraId="4C72371D" w14:textId="77777777" w:rsidR="00CD25DF" w:rsidRPr="008E7F64" w:rsidRDefault="00CD25DF" w:rsidP="00CD25DF">
      <w:pPr>
        <w:pStyle w:val="Default"/>
        <w:numPr>
          <w:ilvl w:val="0"/>
          <w:numId w:val="4"/>
        </w:numPr>
        <w:ind w:left="1418" w:hanging="567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L’incompliment de les obligacions previstes en la clàusula trentena en relació amb l’ús del català.</w:t>
      </w:r>
    </w:p>
    <w:p w14:paraId="54B9419B" w14:textId="77777777" w:rsidR="00CD25DF" w:rsidRPr="008E7F64" w:rsidRDefault="00CD25DF" w:rsidP="00CD25DF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</w:p>
    <w:p w14:paraId="6216C1A1" w14:textId="77777777" w:rsidR="00CD25DF" w:rsidRPr="008E7F64" w:rsidRDefault="00CD25DF" w:rsidP="00CD25DF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u w:val="single"/>
          <w:lang w:val="ca-ES"/>
        </w:rPr>
        <w:t>Penalitzacions per demora en la execució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</w:p>
    <w:p w14:paraId="1E0F3407" w14:textId="77777777" w:rsidR="00CD25DF" w:rsidRPr="008E7F64" w:rsidRDefault="00CD25DF" w:rsidP="00CD25DF">
      <w:pPr>
        <w:pStyle w:val="Default"/>
        <w:ind w:left="72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84BB1A8" w14:textId="77777777" w:rsidR="00CD25DF" w:rsidRPr="008E7F64" w:rsidRDefault="00CD25DF" w:rsidP="00CD25DF">
      <w:pPr>
        <w:pStyle w:val="Default"/>
        <w:numPr>
          <w:ilvl w:val="0"/>
          <w:numId w:val="5"/>
        </w:numPr>
        <w:ind w:left="1418" w:hanging="567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L’ajuntament podrà optar, ateses les circumstàncies del cas, per la resolució del contracte o per la imposició de penalitats diàries en la proporció de 0,60 € per 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lastRenderedPageBreak/>
        <w:t>cada 1.000 € del preu final del contracte (IVA exclòs). En cas que el contracte s’adjudiqui per preus unitaris i el PBL sigui limitatiu, la penalitat serà idèntica però per cada 1.000 € del PBL.</w:t>
      </w:r>
    </w:p>
    <w:p w14:paraId="1AEB4DF4" w14:textId="77777777" w:rsidR="00CD25DF" w:rsidRPr="008E7F64" w:rsidRDefault="00CD25DF" w:rsidP="00CD25DF">
      <w:pPr>
        <w:pStyle w:val="Default"/>
        <w:numPr>
          <w:ilvl w:val="0"/>
          <w:numId w:val="5"/>
        </w:numPr>
        <w:ind w:left="1418" w:hanging="567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Cada vegada que les penalitats per demora arribin a un múltiple del 5 % del preu final del contracte (IVA exclòs) o PBL si és limitatiu, l’òrgan de contractació podrà acordar la resolució del contracte o acordar la continuïtat del contracte amb imposició de noves penalitats diàries a les assenyalades en el paràgraf anterior. </w:t>
      </w:r>
    </w:p>
    <w:p w14:paraId="501A4DE6" w14:textId="77777777" w:rsidR="00CD25DF" w:rsidRPr="008E7F64" w:rsidRDefault="00CD25DF" w:rsidP="00CD25DF">
      <w:pPr>
        <w:pStyle w:val="Default"/>
        <w:numPr>
          <w:ilvl w:val="0"/>
          <w:numId w:val="5"/>
        </w:numPr>
        <w:ind w:left="1418" w:hanging="567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L’Ajuntament tindrà la mateixa facultat respecte de l’incompliment, per causes imputables a l’empresa contractista, de l’execució parcial de les prestacions definides en el contracte si fa presumit raonablement la impossibilitat de complir el termini total.</w:t>
      </w:r>
    </w:p>
    <w:p w14:paraId="1C2B5C9B" w14:textId="77777777" w:rsidR="00CD25DF" w:rsidRPr="008E7F64" w:rsidRDefault="00CD25DF" w:rsidP="00CD25DF">
      <w:pPr>
        <w:pStyle w:val="Pargrafdellista"/>
        <w:jc w:val="both"/>
        <w:rPr>
          <w:rFonts w:ascii="Calibri" w:hAnsi="Calibri" w:cs="Calibri"/>
        </w:rPr>
      </w:pPr>
    </w:p>
    <w:p w14:paraId="0C517F0A" w14:textId="7D6AE3BE" w:rsidR="00CD25DF" w:rsidRDefault="00CD25DF" w:rsidP="00CD25DF">
      <w:pPr>
        <w:widowControl/>
        <w:autoSpaceDE/>
        <w:autoSpaceDN/>
        <w:jc w:val="both"/>
      </w:pPr>
      <w:r w:rsidRPr="008E7F64">
        <w:rPr>
          <w:rFonts w:ascii="Calibri" w:hAnsi="Calibri" w:cs="Calibri"/>
        </w:rPr>
        <w:br w:type="page"/>
      </w:r>
    </w:p>
    <w:sectPr w:rsidR="00CD25D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22623" w14:textId="77777777" w:rsidR="00DE3634" w:rsidRDefault="00DE3634" w:rsidP="00CD25DF">
      <w:r>
        <w:separator/>
      </w:r>
    </w:p>
  </w:endnote>
  <w:endnote w:type="continuationSeparator" w:id="0">
    <w:p w14:paraId="1000EBA8" w14:textId="77777777" w:rsidR="00DE3634" w:rsidRDefault="00DE3634" w:rsidP="00CD2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CA53A" w14:textId="77777777" w:rsidR="00DE3634" w:rsidRDefault="00DE3634" w:rsidP="00CD25DF">
      <w:r>
        <w:separator/>
      </w:r>
    </w:p>
  </w:footnote>
  <w:footnote w:type="continuationSeparator" w:id="0">
    <w:p w14:paraId="1DAF8418" w14:textId="77777777" w:rsidR="00DE3634" w:rsidRDefault="00DE3634" w:rsidP="00CD2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F191" w14:textId="5903D647" w:rsidR="00CD25DF" w:rsidRDefault="00CD25DF">
    <w:pPr>
      <w:pStyle w:val="Capalera"/>
    </w:pPr>
    <w:r>
      <w:rPr>
        <w:noProof/>
      </w:rPr>
      <w:drawing>
        <wp:inline distT="0" distB="0" distL="0" distR="0" wp14:anchorId="0340435B" wp14:editId="53649A34">
          <wp:extent cx="2087880" cy="701040"/>
          <wp:effectExtent l="0" t="0" r="7620" b="3810"/>
          <wp:docPr id="1434499144" name="Imatg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66" r="-21" b="-66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701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A16"/>
    <w:multiLevelType w:val="hybridMultilevel"/>
    <w:tmpl w:val="9542A69C"/>
    <w:lvl w:ilvl="0" w:tplc="BD1A05C6">
      <w:start w:val="1"/>
      <w:numFmt w:val="decimal"/>
      <w:lvlText w:val="%1."/>
      <w:lvlJc w:val="left"/>
      <w:pPr>
        <w:ind w:left="1416" w:hanging="567"/>
      </w:pPr>
      <w:rPr>
        <w:rFonts w:ascii="Calibri" w:eastAsia="Arial MT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9E20936">
      <w:start w:val="1"/>
      <w:numFmt w:val="lowerLetter"/>
      <w:lvlText w:val="%2)"/>
      <w:lvlJc w:val="left"/>
      <w:pPr>
        <w:ind w:left="1984" w:hanging="569"/>
      </w:pPr>
      <w:rPr>
        <w:rFonts w:ascii="Calibri" w:eastAsia="Arial MT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DCF40AFC">
      <w:numFmt w:val="bullet"/>
      <w:lvlText w:val="•"/>
      <w:lvlJc w:val="left"/>
      <w:pPr>
        <w:ind w:left="2878" w:hanging="569"/>
      </w:pPr>
      <w:rPr>
        <w:rFonts w:hint="default"/>
        <w:lang w:val="ca-ES" w:eastAsia="en-US" w:bidi="ar-SA"/>
      </w:rPr>
    </w:lvl>
    <w:lvl w:ilvl="3" w:tplc="A9ACA3AC">
      <w:numFmt w:val="bullet"/>
      <w:lvlText w:val="•"/>
      <w:lvlJc w:val="left"/>
      <w:pPr>
        <w:ind w:left="3776" w:hanging="569"/>
      </w:pPr>
      <w:rPr>
        <w:rFonts w:hint="default"/>
        <w:lang w:val="ca-ES" w:eastAsia="en-US" w:bidi="ar-SA"/>
      </w:rPr>
    </w:lvl>
    <w:lvl w:ilvl="4" w:tplc="6A6878DC">
      <w:numFmt w:val="bullet"/>
      <w:lvlText w:val="•"/>
      <w:lvlJc w:val="left"/>
      <w:pPr>
        <w:ind w:left="4674" w:hanging="569"/>
      </w:pPr>
      <w:rPr>
        <w:rFonts w:hint="default"/>
        <w:lang w:val="ca-ES" w:eastAsia="en-US" w:bidi="ar-SA"/>
      </w:rPr>
    </w:lvl>
    <w:lvl w:ilvl="5" w:tplc="063A42B0">
      <w:numFmt w:val="bullet"/>
      <w:lvlText w:val="•"/>
      <w:lvlJc w:val="left"/>
      <w:pPr>
        <w:ind w:left="5573" w:hanging="569"/>
      </w:pPr>
      <w:rPr>
        <w:rFonts w:hint="default"/>
        <w:lang w:val="ca-ES" w:eastAsia="en-US" w:bidi="ar-SA"/>
      </w:rPr>
    </w:lvl>
    <w:lvl w:ilvl="6" w:tplc="BECABDE4">
      <w:numFmt w:val="bullet"/>
      <w:lvlText w:val="•"/>
      <w:lvlJc w:val="left"/>
      <w:pPr>
        <w:ind w:left="6471" w:hanging="569"/>
      </w:pPr>
      <w:rPr>
        <w:rFonts w:hint="default"/>
        <w:lang w:val="ca-ES" w:eastAsia="en-US" w:bidi="ar-SA"/>
      </w:rPr>
    </w:lvl>
    <w:lvl w:ilvl="7" w:tplc="55B697B2">
      <w:numFmt w:val="bullet"/>
      <w:lvlText w:val="•"/>
      <w:lvlJc w:val="left"/>
      <w:pPr>
        <w:ind w:left="7369" w:hanging="569"/>
      </w:pPr>
      <w:rPr>
        <w:rFonts w:hint="default"/>
        <w:lang w:val="ca-ES" w:eastAsia="en-US" w:bidi="ar-SA"/>
      </w:rPr>
    </w:lvl>
    <w:lvl w:ilvl="8" w:tplc="0BD8CF84">
      <w:numFmt w:val="bullet"/>
      <w:lvlText w:val="•"/>
      <w:lvlJc w:val="left"/>
      <w:pPr>
        <w:ind w:left="8267" w:hanging="569"/>
      </w:pPr>
      <w:rPr>
        <w:rFonts w:hint="default"/>
        <w:lang w:val="ca-ES" w:eastAsia="en-US" w:bidi="ar-SA"/>
      </w:rPr>
    </w:lvl>
  </w:abstractNum>
  <w:abstractNum w:abstractNumId="1" w15:restartNumberingAfterBreak="0">
    <w:nsid w:val="272854C1"/>
    <w:multiLevelType w:val="hybridMultilevel"/>
    <w:tmpl w:val="E34422C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A03B2"/>
    <w:multiLevelType w:val="hybridMultilevel"/>
    <w:tmpl w:val="DC228DB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76236"/>
    <w:multiLevelType w:val="hybridMultilevel"/>
    <w:tmpl w:val="3EE2E25E"/>
    <w:lvl w:ilvl="0" w:tplc="54DCE4BA">
      <w:start w:val="1"/>
      <w:numFmt w:val="decimal"/>
      <w:lvlText w:val="%1."/>
      <w:lvlJc w:val="left"/>
      <w:pPr>
        <w:ind w:left="849" w:hanging="567"/>
      </w:pPr>
      <w:rPr>
        <w:rFonts w:ascii="Calibri" w:eastAsia="Arial MT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DEE80A3E">
      <w:start w:val="1"/>
      <w:numFmt w:val="lowerLetter"/>
      <w:lvlText w:val="%2)"/>
      <w:lvlJc w:val="left"/>
      <w:pPr>
        <w:ind w:left="1416" w:hanging="567"/>
      </w:pPr>
      <w:rPr>
        <w:rFonts w:ascii="Calibri" w:eastAsia="Arial MT" w:hAnsi="Calibri" w:cs="Calibri" w:hint="default"/>
        <w:b w:val="0"/>
        <w:bCs w:val="0"/>
        <w:i w:val="0"/>
        <w:iCs w:val="0"/>
        <w:spacing w:val="-1"/>
        <w:w w:val="91"/>
        <w:sz w:val="22"/>
        <w:szCs w:val="22"/>
        <w:lang w:val="ca-ES" w:eastAsia="en-US" w:bidi="ar-SA"/>
      </w:rPr>
    </w:lvl>
    <w:lvl w:ilvl="2" w:tplc="A1D044AC">
      <w:numFmt w:val="bullet"/>
      <w:lvlText w:val="•"/>
      <w:lvlJc w:val="left"/>
      <w:pPr>
        <w:ind w:left="2380" w:hanging="567"/>
      </w:pPr>
      <w:rPr>
        <w:rFonts w:hint="default"/>
        <w:lang w:val="ca-ES" w:eastAsia="en-US" w:bidi="ar-SA"/>
      </w:rPr>
    </w:lvl>
    <w:lvl w:ilvl="3" w:tplc="D312DD98">
      <w:numFmt w:val="bullet"/>
      <w:lvlText w:val="•"/>
      <w:lvlJc w:val="left"/>
      <w:pPr>
        <w:ind w:left="3340" w:hanging="567"/>
      </w:pPr>
      <w:rPr>
        <w:rFonts w:hint="default"/>
        <w:lang w:val="ca-ES" w:eastAsia="en-US" w:bidi="ar-SA"/>
      </w:rPr>
    </w:lvl>
    <w:lvl w:ilvl="4" w:tplc="B4DAB052">
      <w:numFmt w:val="bullet"/>
      <w:lvlText w:val="•"/>
      <w:lvlJc w:val="left"/>
      <w:pPr>
        <w:ind w:left="4301" w:hanging="567"/>
      </w:pPr>
      <w:rPr>
        <w:rFonts w:hint="default"/>
        <w:lang w:val="ca-ES" w:eastAsia="en-US" w:bidi="ar-SA"/>
      </w:rPr>
    </w:lvl>
    <w:lvl w:ilvl="5" w:tplc="A57ABBF2">
      <w:numFmt w:val="bullet"/>
      <w:lvlText w:val="•"/>
      <w:lvlJc w:val="left"/>
      <w:pPr>
        <w:ind w:left="5261" w:hanging="567"/>
      </w:pPr>
      <w:rPr>
        <w:rFonts w:hint="default"/>
        <w:lang w:val="ca-ES" w:eastAsia="en-US" w:bidi="ar-SA"/>
      </w:rPr>
    </w:lvl>
    <w:lvl w:ilvl="6" w:tplc="AF2A93C0">
      <w:numFmt w:val="bullet"/>
      <w:lvlText w:val="•"/>
      <w:lvlJc w:val="left"/>
      <w:pPr>
        <w:ind w:left="6222" w:hanging="567"/>
      </w:pPr>
      <w:rPr>
        <w:rFonts w:hint="default"/>
        <w:lang w:val="ca-ES" w:eastAsia="en-US" w:bidi="ar-SA"/>
      </w:rPr>
    </w:lvl>
    <w:lvl w:ilvl="7" w:tplc="CF06CA02">
      <w:numFmt w:val="bullet"/>
      <w:lvlText w:val="•"/>
      <w:lvlJc w:val="left"/>
      <w:pPr>
        <w:ind w:left="7182" w:hanging="567"/>
      </w:pPr>
      <w:rPr>
        <w:rFonts w:hint="default"/>
        <w:lang w:val="ca-ES" w:eastAsia="en-US" w:bidi="ar-SA"/>
      </w:rPr>
    </w:lvl>
    <w:lvl w:ilvl="8" w:tplc="25B872EA">
      <w:numFmt w:val="bullet"/>
      <w:lvlText w:val="•"/>
      <w:lvlJc w:val="left"/>
      <w:pPr>
        <w:ind w:left="8143" w:hanging="567"/>
      </w:pPr>
      <w:rPr>
        <w:rFonts w:hint="default"/>
        <w:lang w:val="ca-ES" w:eastAsia="en-US" w:bidi="ar-SA"/>
      </w:rPr>
    </w:lvl>
  </w:abstractNum>
  <w:abstractNum w:abstractNumId="4" w15:restartNumberingAfterBreak="0">
    <w:nsid w:val="36772F7C"/>
    <w:multiLevelType w:val="hybridMultilevel"/>
    <w:tmpl w:val="1758E1F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606746">
    <w:abstractNumId w:val="0"/>
  </w:num>
  <w:num w:numId="2" w16cid:durableId="1713651391">
    <w:abstractNumId w:val="3"/>
  </w:num>
  <w:num w:numId="3" w16cid:durableId="81807420">
    <w:abstractNumId w:val="2"/>
  </w:num>
  <w:num w:numId="4" w16cid:durableId="162355458">
    <w:abstractNumId w:val="1"/>
  </w:num>
  <w:num w:numId="5" w16cid:durableId="1921061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XlHYFajHZuM4U8mCPz13OsGQffpIl1qk3Fp457CVBwbEkAi923TrtybPjJufL5qqcdMW4IhX75CaLx2ekhxn7Q==" w:salt="z+j+XHFe82qFAfBqEa1AU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DF"/>
    <w:rsid w:val="00217C42"/>
    <w:rsid w:val="006D3E1E"/>
    <w:rsid w:val="009B456C"/>
    <w:rsid w:val="00CD25DF"/>
    <w:rsid w:val="00DE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DE6A8"/>
  <w15:chartTrackingRefBased/>
  <w15:docId w15:val="{E00486A0-0F29-48C6-AE27-6D4AE103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5D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CD25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D2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D25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D25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D25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D25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D25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D25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D25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D25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D25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D25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D25DF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D25DF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D25DF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D25DF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D25DF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D25DF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CD25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D2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CD25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D25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D2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D25DF"/>
    <w:rPr>
      <w:i/>
      <w:iCs/>
      <w:color w:val="404040" w:themeColor="text1" w:themeTint="BF"/>
    </w:rPr>
  </w:style>
  <w:style w:type="paragraph" w:styleId="Pargrafdellista">
    <w:name w:val="List Paragraph"/>
    <w:basedOn w:val="Normal"/>
    <w:link w:val="PargrafdellistaCar"/>
    <w:uiPriority w:val="34"/>
    <w:qFormat/>
    <w:rsid w:val="00CD25DF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D25DF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D25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D25DF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CD25DF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CD25DF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CD25DF"/>
  </w:style>
  <w:style w:type="paragraph" w:styleId="Peu">
    <w:name w:val="footer"/>
    <w:basedOn w:val="Normal"/>
    <w:link w:val="PeuCar"/>
    <w:uiPriority w:val="99"/>
    <w:unhideWhenUsed/>
    <w:rsid w:val="00CD25DF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CD25DF"/>
  </w:style>
  <w:style w:type="character" w:customStyle="1" w:styleId="PargrafdellistaCar">
    <w:name w:val="Paràgraf de llista Car"/>
    <w:link w:val="Pargrafdellista"/>
    <w:uiPriority w:val="34"/>
    <w:qFormat/>
    <w:locked/>
    <w:rsid w:val="00CD25DF"/>
  </w:style>
  <w:style w:type="paragraph" w:customStyle="1" w:styleId="Default">
    <w:name w:val="Default"/>
    <w:qFormat/>
    <w:rsid w:val="00CD25DF"/>
    <w:pPr>
      <w:suppressAutoHyphens/>
      <w:spacing w:after="0" w:line="240" w:lineRule="auto"/>
    </w:pPr>
    <w:rPr>
      <w:rFonts w:ascii="Helvetica" w:eastAsia="Times New Roman" w:hAnsi="Helvetica" w:cs="Helvetica"/>
      <w:color w:val="000000"/>
      <w:kern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Callicó Prat</dc:creator>
  <cp:keywords/>
  <dc:description/>
  <cp:lastModifiedBy>Susanna Callicó Prat</cp:lastModifiedBy>
  <cp:revision>1</cp:revision>
  <dcterms:created xsi:type="dcterms:W3CDTF">2026-11-03T10:22:00Z</dcterms:created>
  <dcterms:modified xsi:type="dcterms:W3CDTF">2026-11-03T10:23:00Z</dcterms:modified>
</cp:coreProperties>
</file>