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1"/>
        </w:numPr>
        <w:bidi w:val="0"/>
        <w:spacing w:before="0" w:after="120"/>
        <w:ind w:hanging="0" w:left="0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b/>
          <w:bCs/>
          <w:color w:val="000000"/>
          <w:sz w:val="22"/>
          <w:szCs w:val="22"/>
          <w:u w:val="single"/>
        </w:rPr>
        <w:t xml:space="preserve">SOBRE 3: </w:t>
      </w:r>
      <w:r>
        <w:rPr>
          <w:rFonts w:eastAsia="Arial" w:cs="Verdana" w:ascii="Arial" w:hAnsi="Arial"/>
          <w:b/>
          <w:bCs/>
          <w:iCs/>
          <w:color w:val="000000"/>
          <w:sz w:val="22"/>
          <w:szCs w:val="22"/>
          <w:u w:val="single"/>
          <w:shd w:fill="FFFFFF" w:val="clear"/>
        </w:rPr>
        <w:t>«</w:t>
      </w:r>
      <w:r>
        <w:rPr>
          <w:rFonts w:eastAsia="Arial" w:cs="Verdana" w:ascii="Arial" w:hAnsi="Arial"/>
          <w:b/>
          <w:bCs/>
          <w:iCs/>
          <w:sz w:val="22"/>
          <w:szCs w:val="22"/>
          <w:u w:val="single"/>
          <w:shd w:fill="FFFFFF" w:val="clear"/>
        </w:rPr>
        <w:t>PROPOSTA ECONÒMICA I DOCUMENTACIÓ TÈCNICA AVALUABLE DE FORMA AUTOMÀTICA»</w:t>
      </w:r>
      <w:r>
        <w:rPr>
          <w:rFonts w:eastAsia="Arial" w:cs="Verdana"/>
          <w:iCs/>
          <w:sz w:val="22"/>
          <w:szCs w:val="22"/>
          <w:shd w:fill="FFFFFF" w:val="clear"/>
        </w:rPr>
        <w:t xml:space="preserve"> </w:t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0"/>
        <w:rPr>
          <w:sz w:val="22"/>
          <w:szCs w:val="22"/>
        </w:rPr>
      </w:pPr>
      <w:r>
        <w:rPr>
          <w:i w:val="false"/>
          <w:iCs w:val="false"/>
          <w:sz w:val="21"/>
          <w:szCs w:val="21"/>
        </w:rPr>
        <w:t>En el sobre número 3, el licitador presentarà la següent documentació:</w:t>
      </w:r>
    </w:p>
    <w:p>
      <w:pPr>
        <w:pStyle w:val="Textbody"/>
        <w:numPr>
          <w:ilvl w:val="0"/>
          <w:numId w:val="2"/>
        </w:numPr>
        <w:spacing w:before="57" w:after="57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1"/>
          <w:szCs w:val="21"/>
        </w:rPr>
        <w:t>Relació numerada de la documentació inclosa</w:t>
      </w:r>
    </w:p>
    <w:p>
      <w:pPr>
        <w:pStyle w:val="Textbody"/>
        <w:numPr>
          <w:ilvl w:val="0"/>
          <w:numId w:val="2"/>
        </w:numPr>
        <w:spacing w:before="57" w:after="57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1"/>
          <w:szCs w:val="21"/>
        </w:rPr>
        <w:t>Proposta econòmica i documentació tècnica avaluable de forma automàtica.</w:t>
      </w:r>
    </w:p>
    <w:p>
      <w:pPr>
        <w:pStyle w:val="Subtitle"/>
        <w:numPr>
          <w:ilvl w:val="0"/>
          <w:numId w:val="2"/>
        </w:numPr>
        <w:spacing w:lineRule="auto" w:line="276" w:before="57" w:after="57"/>
        <w:ind w:hanging="0" w:left="0"/>
        <w:rPr>
          <w:rFonts w:eastAsia="Helvetica-Bold" w:cs="Helvetica-Bold"/>
          <w:i w:val="false"/>
          <w:iCs w:val="false"/>
          <w:sz w:val="22"/>
          <w:szCs w:val="22"/>
          <w:highlight w:val="white"/>
        </w:rPr>
      </w:pPr>
      <w:r>
        <w:rPr>
          <w:rFonts w:eastAsia="Helvetica-Bold"/>
          <w:i w:val="false"/>
          <w:iCs w:val="false"/>
          <w:sz w:val="21"/>
          <w:szCs w:val="21"/>
          <w:shd w:fill="FFFFFF" w:val="clear"/>
        </w:rPr>
        <w:t>Documents que acreditin les circumstàncies a tenir en compte en la valoració de la proposta segons els criteris d’adjudicació automàtics d’aquesta licitació, de conformitat amb la clàusula V del present Plec.</w:t>
      </w:r>
    </w:p>
    <w:p>
      <w:pPr>
        <w:pStyle w:val="Standard"/>
        <w:numPr>
          <w:ilvl w:val="0"/>
          <w:numId w:val="1"/>
        </w:numPr>
        <w:spacing w:lineRule="auto" w:line="276" w:before="57" w:after="57"/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1"/>
          <w:szCs w:val="21"/>
        </w:rPr>
      </w:r>
    </w:p>
    <w:p>
      <w:pPr>
        <w:pStyle w:val="Standard"/>
        <w:numPr>
          <w:ilvl w:val="0"/>
          <w:numId w:val="1"/>
        </w:numPr>
        <w:spacing w:lineRule="auto" w:line="276" w:before="57" w:after="57"/>
        <w:ind w:hanging="0" w:left="0"/>
        <w:jc w:val="both"/>
        <w:rPr>
          <w:rFonts w:ascii="Arial" w:hAnsi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→ </w:t>
      </w:r>
      <w:r>
        <w:rPr>
          <w:rFonts w:cs="Arial"/>
          <w:b/>
          <w:bCs/>
          <w:sz w:val="22"/>
          <w:szCs w:val="22"/>
          <w:u w:val="single"/>
        </w:rPr>
        <w:t>Proposta econòmica i documentació tècnica avaluable de forma automàtica</w:t>
      </w:r>
    </w:p>
    <w:p>
      <w:pPr>
        <w:pStyle w:val="Textbody"/>
        <w:numPr>
          <w:ilvl w:val="0"/>
          <w:numId w:val="1"/>
        </w:numPr>
        <w:spacing w:before="0" w:after="0"/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Textbody"/>
        <w:numPr>
          <w:ilvl w:val="0"/>
          <w:numId w:val="1"/>
        </w:numPr>
        <w:spacing w:before="0" w:after="0"/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t>L’encapçalament d’aquesta documentació serà el següent:</w:t>
      </w:r>
    </w:p>
    <w:p>
      <w:pPr>
        <w:pStyle w:val="Textbody"/>
        <w:numPr>
          <w:ilvl w:val="0"/>
          <w:numId w:val="1"/>
        </w:numPr>
        <w:spacing w:before="0" w:after="0"/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Standard"/>
        <w:numPr>
          <w:ilvl w:val="0"/>
          <w:numId w:val="1"/>
        </w:numPr>
        <w:spacing w:lineRule="auto" w:line="276" w:before="57" w:after="57"/>
        <w:ind w:hanging="0" w:left="0"/>
        <w:jc w:val="both"/>
        <w:rPr>
          <w:rFonts w:ascii="Arial" w:hAnsi="Arial"/>
          <w:sz w:val="22"/>
          <w:szCs w:val="22"/>
        </w:rPr>
      </w:pPr>
      <w:r>
        <w:rPr>
          <w:rFonts w:cs="Arial"/>
          <w:b/>
          <w:bCs/>
          <w:i/>
          <w:iCs/>
          <w:sz w:val="21"/>
          <w:szCs w:val="21"/>
        </w:rPr>
        <w:t xml:space="preserve">«Exp. 20..../.....: Proposició econòmica avaluable de forma automàtica  per participar en el procediment obert per a la contractació del servei de.....................................  presentada per .......……...» </w:t>
      </w:r>
      <w:r>
        <w:rPr>
          <w:rFonts w:cs="Arial"/>
          <w:i/>
          <w:iCs/>
          <w:sz w:val="21"/>
          <w:szCs w:val="21"/>
        </w:rPr>
        <w:t xml:space="preserve"> </w:t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0"/>
        <w:rPr>
          <w:i w:val="false"/>
          <w:iCs w:val="false"/>
          <w:sz w:val="22"/>
          <w:szCs w:val="22"/>
        </w:rPr>
      </w:pPr>
      <w:r>
        <w:rPr>
          <w:i w:val="false"/>
          <w:iCs w:val="false"/>
          <w:sz w:val="21"/>
          <w:szCs w:val="21"/>
        </w:rPr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0"/>
        <w:rPr>
          <w:color w:val="000000"/>
          <w:sz w:val="22"/>
          <w:szCs w:val="22"/>
        </w:rPr>
      </w:pPr>
      <w:r>
        <w:rPr>
          <w:color w:val="000000"/>
          <w:sz w:val="21"/>
          <w:szCs w:val="21"/>
        </w:rPr>
        <w:t>"En/Na ......................................... amb NIF núm. ................, en nom propi, (o en representació de l'empresa .............., CIF núm. .............., domiciliada a ........... carrer ........................, núm. .......), assabentat/da de les condicions exigides per optar a la contractació relativa al contracte de servei ......................................................, es  compromet a portar-la a terme amb subjecció als Plecs de Prescripcions Tècniques Particulars i de Clàusules Administratives Particulars  amb les següents condicions:</w:t>
      </w:r>
    </w:p>
    <w:p>
      <w:pPr>
        <w:pStyle w:val="Textbody"/>
        <w:numPr>
          <w:ilvl w:val="0"/>
          <w:numId w:val="1"/>
        </w:numPr>
        <w:ind w:hanging="0" w:left="0"/>
        <w:rPr>
          <w:rFonts w:ascii="Arial" w:hAnsi="Arial"/>
          <w:sz w:val="22"/>
          <w:szCs w:val="22"/>
        </w:rPr>
      </w:pPr>
      <w:r>
        <w:rPr>
          <w:sz w:val="21"/>
          <w:szCs w:val="21"/>
        </w:rPr>
      </w:r>
    </w:p>
    <w:p>
      <w:pPr>
        <w:pStyle w:val="Textbody"/>
        <w:numPr>
          <w:ilvl w:val="0"/>
          <w:numId w:val="1"/>
        </w:numPr>
        <w:ind w:hanging="0" w:left="0"/>
        <w:rPr>
          <w:b/>
          <w:bCs/>
        </w:rPr>
      </w:pPr>
      <w:r>
        <w:rPr>
          <w:b/>
          <w:bCs/>
          <w:sz w:val="21"/>
          <w:szCs w:val="21"/>
          <w:u w:val="single"/>
        </w:rPr>
        <w:t>A.- Proposta econòmica (Fins a 60 punts):</w:t>
      </w:r>
    </w:p>
    <w:p>
      <w:pPr>
        <w:pStyle w:val="Textbody"/>
        <w:numPr>
          <w:ilvl w:val="0"/>
          <w:numId w:val="1"/>
        </w:numPr>
        <w:ind w:hanging="0" w:left="0"/>
        <w:rPr>
          <w:rFonts w:ascii="Arial" w:hAnsi="Arial"/>
          <w:sz w:val="22"/>
          <w:szCs w:val="22"/>
        </w:rPr>
      </w:pPr>
      <w:r>
        <w:rPr>
          <w:sz w:val="21"/>
          <w:szCs w:val="21"/>
        </w:rPr>
      </w:r>
    </w:p>
    <w:tbl>
      <w:tblPr>
        <w:tblW w:w="936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872"/>
        <w:gridCol w:w="3729"/>
        <w:gridCol w:w="3759"/>
      </w:tblGrid>
      <w:tr>
        <w:trPr>
          <w:tblHeader w:val="true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Encapalamen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Encapalamen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Concepte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Encapalamen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Baixa lineal ofertada</w:t>
            </w:r>
          </w:p>
        </w:tc>
      </w:tr>
      <w:tr>
        <w:trPr/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/>
            </w:pPr>
            <w:r>
              <w:rPr>
                <w:rStyle w:val="Strong"/>
                <w:sz w:val="21"/>
                <w:szCs w:val="21"/>
              </w:rPr>
              <w:t>A</w:t>
            </w:r>
          </w:p>
        </w:tc>
        <w:tc>
          <w:tcPr>
            <w:tcW w:w="37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Tarimes</w:t>
            </w:r>
          </w:p>
        </w:tc>
        <w:tc>
          <w:tcPr>
            <w:tcW w:w="3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 %</w:t>
            </w:r>
          </w:p>
        </w:tc>
      </w:tr>
      <w:tr>
        <w:trPr/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/>
            </w:pPr>
            <w:r>
              <w:rPr>
                <w:rStyle w:val="Strong"/>
                <w:sz w:val="21"/>
                <w:szCs w:val="21"/>
              </w:rPr>
              <w:t>B</w:t>
            </w:r>
          </w:p>
        </w:tc>
        <w:tc>
          <w:tcPr>
            <w:tcW w:w="37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Taules i cadires</w:t>
            </w:r>
          </w:p>
        </w:tc>
        <w:tc>
          <w:tcPr>
            <w:tcW w:w="3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 %</w:t>
            </w:r>
          </w:p>
        </w:tc>
      </w:tr>
      <w:tr>
        <w:trPr/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/>
            </w:pPr>
            <w:r>
              <w:rPr>
                <w:rStyle w:val="Strong"/>
                <w:sz w:val="21"/>
                <w:szCs w:val="21"/>
              </w:rPr>
              <w:t>C</w:t>
            </w:r>
          </w:p>
        </w:tc>
        <w:tc>
          <w:tcPr>
            <w:tcW w:w="37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Tanques</w:t>
            </w:r>
          </w:p>
        </w:tc>
        <w:tc>
          <w:tcPr>
            <w:tcW w:w="3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 %</w:t>
            </w:r>
          </w:p>
        </w:tc>
      </w:tr>
      <w:tr>
        <w:trPr/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/>
            </w:pPr>
            <w:r>
              <w:rPr>
                <w:rStyle w:val="Strong"/>
                <w:sz w:val="21"/>
                <w:szCs w:val="21"/>
              </w:rPr>
              <w:t>D</w:t>
            </w:r>
          </w:p>
        </w:tc>
        <w:tc>
          <w:tcPr>
            <w:tcW w:w="37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Protectors de paviment d’equipaments municipals</w:t>
            </w:r>
          </w:p>
        </w:tc>
        <w:tc>
          <w:tcPr>
            <w:tcW w:w="3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 %</w:t>
            </w:r>
          </w:p>
        </w:tc>
      </w:tr>
      <w:tr>
        <w:trPr/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/>
            </w:pPr>
            <w:r>
              <w:rPr>
                <w:rStyle w:val="Strong"/>
                <w:sz w:val="21"/>
                <w:szCs w:val="21"/>
              </w:rPr>
              <w:t>E</w:t>
            </w:r>
          </w:p>
        </w:tc>
        <w:tc>
          <w:tcPr>
            <w:tcW w:w="37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Altres materials</w:t>
            </w:r>
          </w:p>
        </w:tc>
        <w:tc>
          <w:tcPr>
            <w:tcW w:w="3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 %</w:t>
            </w:r>
          </w:p>
        </w:tc>
      </w:tr>
      <w:tr>
        <w:trPr/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/>
            </w:pPr>
            <w:r>
              <w:rPr>
                <w:rStyle w:val="Strong"/>
                <w:sz w:val="21"/>
                <w:szCs w:val="21"/>
              </w:rPr>
              <w:t>F</w:t>
            </w:r>
          </w:p>
        </w:tc>
        <w:tc>
          <w:tcPr>
            <w:tcW w:w="37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Mà d’obra i mitjans auxiliars</w:t>
            </w:r>
          </w:p>
        </w:tc>
        <w:tc>
          <w:tcPr>
            <w:tcW w:w="3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user"/>
              <w:numPr>
                <w:ilvl w:val="0"/>
                <w:numId w:val="1"/>
              </w:numPr>
              <w:ind w:hanging="0"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............ %</w:t>
            </w:r>
          </w:p>
        </w:tc>
      </w:tr>
    </w:tbl>
    <w:p>
      <w:pPr>
        <w:pStyle w:val="Textbody"/>
        <w:numPr>
          <w:ilvl w:val="0"/>
          <w:numId w:val="1"/>
        </w:numPr>
        <w:ind w:hanging="0" w:left="0"/>
        <w:rPr>
          <w:rFonts w:ascii="Arial" w:hAnsi="Arial"/>
          <w:sz w:val="22"/>
          <w:szCs w:val="22"/>
        </w:rPr>
      </w:pPr>
      <w:r>
        <w:rPr>
          <w:sz w:val="21"/>
          <w:szCs w:val="21"/>
        </w:rPr>
      </w:r>
    </w:p>
    <w:p>
      <w:pPr>
        <w:pStyle w:val="BodyText"/>
        <w:numPr>
          <w:ilvl w:val="0"/>
          <w:numId w:val="1"/>
        </w:numPr>
        <w:bidi w:val="0"/>
        <w:ind w:hanging="0" w:left="0"/>
        <w:jc w:val="both"/>
        <w:rPr>
          <w:i/>
          <w:iCs/>
          <w:sz w:val="18"/>
          <w:szCs w:val="18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</w:rPr>
        <w:t>*Els percentatges de baixa ofertats s’aplicaran de manera lineal a tots els preus unitaris integrats en el grup corresponent.</w:t>
      </w:r>
    </w:p>
    <w:p>
      <w:pPr>
        <w:pStyle w:val="BodyText"/>
        <w:numPr>
          <w:ilvl w:val="0"/>
          <w:numId w:val="1"/>
        </w:numPr>
        <w:suppressAutoHyphens w:val="true"/>
        <w:bidi w:val="0"/>
        <w:ind w:hanging="0" w:left="0"/>
        <w:jc w:val="both"/>
        <w:rPr/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</w:rPr>
        <w:t xml:space="preserve">*En cap cas els preus unitaris resultants podran ser superiors als </w:t>
      </w:r>
      <w:r>
        <w:rPr>
          <w:rStyle w:val="Strong"/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</w:rPr>
        <w:t>preus unitaris màxims establerts a l’Annex 2 del Plec de prescripcions tècniques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</w:rPr>
        <w:t>.</w:t>
      </w:r>
    </w:p>
    <w:p>
      <w:pPr>
        <w:pStyle w:val="BodyText"/>
        <w:numPr>
          <w:ilvl w:val="0"/>
          <w:numId w:val="1"/>
        </w:numPr>
        <w:suppressAutoHyphens w:val="true"/>
        <w:bidi w:val="0"/>
        <w:ind w:hanging="0" w:left="0"/>
        <w:jc w:val="both"/>
        <w:rPr/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</w:rPr>
        <w:t xml:space="preserve">*El pressupost base de licitació té caràcter de </w:t>
      </w:r>
      <w:r>
        <w:rPr>
          <w:rStyle w:val="Strong"/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</w:rPr>
        <w:t>pressupost màxim i limitatiu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</w:rPr>
        <w:t>, de manera que l’Ajuntament no resta obligat a esgotar-lo i la facturació es realitzarà en funció de les prestacions efectivament executades i dels preus unitaris resultants de l’aplicació de les baixes</w:t>
      </w:r>
      <w:r>
        <w:rPr>
          <w:rFonts w:eastAsia="Arial" w:cs="Arial" w:ascii="Arial" w:hAnsi="Arial"/>
          <w:i/>
          <w:iCs/>
          <w:color w:val="000000"/>
          <w:sz w:val="18"/>
          <w:szCs w:val="18"/>
        </w:rPr>
        <w:t xml:space="preserve"> ofertades.</w:t>
      </w:r>
    </w:p>
    <w:p>
      <w:pPr>
        <w:pStyle w:val="BodyText"/>
        <w:numPr>
          <w:ilvl w:val="0"/>
          <w:numId w:val="1"/>
        </w:numPr>
        <w:suppressAutoHyphens w:val="true"/>
        <w:bidi w:val="0"/>
        <w:ind w:hanging="0" w:left="0"/>
        <w:jc w:val="both"/>
        <w:rPr/>
      </w:pPr>
      <w:r>
        <w:rPr>
          <w:rStyle w:val="Fuentedeprrafopredeter1"/>
          <w:rFonts w:eastAsia="Helv" w:cs="Helv" w:ascii="Arial" w:hAnsi="Arial"/>
          <w:bCs/>
          <w:i/>
          <w:iCs/>
          <w:color w:val="000000"/>
          <w:sz w:val="22"/>
          <w:szCs w:val="22"/>
          <w:lang w:eastAsia="es-ES"/>
        </w:rPr>
        <w:t>(Lloc, data i signatura del licitador)</w:t>
      </w:r>
      <w:r>
        <w:rPr>
          <w:rFonts w:ascii="Arial" w:hAnsi="Arial"/>
          <w:b/>
          <w:bCs/>
          <w:i/>
          <w:iCs/>
          <w:color w:val="000000"/>
          <w:sz w:val="22"/>
          <w:szCs w:val="22"/>
        </w:rPr>
        <w:t>.</w:t>
      </w:r>
      <w:r>
        <w:rPr>
          <w:rFonts w:ascii="Arial" w:hAnsi="Arial"/>
          <w:i/>
          <w:iCs/>
          <w:color w:val="000000"/>
          <w:sz w:val="22"/>
          <w:szCs w:val="22"/>
        </w:rPr>
        <w:t>»</w:t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0"/>
        <w:rPr>
          <w:i w:val="false"/>
          <w:iCs w:val="false"/>
          <w:sz w:val="22"/>
          <w:szCs w:val="22"/>
        </w:rPr>
      </w:pPr>
      <w:r>
        <w:rPr>
          <w:i w:val="false"/>
          <w:iCs w:val="false"/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624" w:hanging="624"/>
      </w:pPr>
      <w:rPr>
        <w:b/>
        <w:color w:val="auto"/>
        <w:sz w:val="20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Fuentedeprrafopredeter1">
    <w:name w:val="Fuente de párrafo predeter.1"/>
    <w:qFormat/>
    <w:rPr/>
  </w:style>
  <w:style w:type="character" w:styleId="Strong">
    <w:name w:val="Strong"/>
    <w:qFormat/>
    <w:rPr>
      <w:b/>
      <w:bCs/>
    </w:rPr>
  </w:style>
  <w:style w:type="character" w:styleId="Smbolsdenumeraci">
    <w:name w:val="Símbols de numeració"/>
    <w:qFormat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Times New Roman"/>
      <w:color w:val="000000"/>
      <w:kern w:val="2"/>
      <w:sz w:val="20"/>
      <w:szCs w:val="20"/>
      <w:lang w:val="ca-ES" w:eastAsia="zh-CN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Ttulo">
    <w:name w:val="Título"/>
    <w:next w:val="Textbody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Liberation Sans" w:hAnsi="Liberation Sans" w:eastAsia="Microsoft YaHei" w:cs="Mangal"/>
      <w:color w:val="auto"/>
      <w:kern w:val="2"/>
      <w:sz w:val="28"/>
      <w:szCs w:val="28"/>
      <w:lang w:val="ca-ES" w:eastAsia="zh-CN" w:bidi="hi-IN"/>
    </w:rPr>
  </w:style>
  <w:style w:type="paragraph" w:styleId="Subtitle">
    <w:name w:val="Subtitle"/>
    <w:basedOn w:val="Ttulo"/>
    <w:next w:val="Textbody"/>
    <w:qFormat/>
    <w:pPr>
      <w:jc w:val="both"/>
    </w:pPr>
    <w:rPr>
      <w:rFonts w:ascii="Arial" w:hAnsi="Arial" w:eastAsia="Arial" w:cs="Arial"/>
      <w:i/>
      <w:iCs/>
    </w:rPr>
  </w:style>
  <w:style w:type="paragraph" w:styleId="LO-Normal2">
    <w:name w:val="LO-Normal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Contingutdelataulauser">
    <w:name w:val="Contingut de la taula (user)"/>
    <w:basedOn w:val="Normal"/>
    <w:qFormat/>
    <w:pPr>
      <w:suppressLineNumbers/>
      <w:bidi w:val="0"/>
    </w:pPr>
    <w:rPr>
      <w:rFonts w:ascii="Arial" w:hAnsi="Arial"/>
      <w:sz w:val="22"/>
    </w:rPr>
  </w:style>
  <w:style w:type="paragraph" w:styleId="Encapalamentdelataulauser">
    <w:name w:val="Encapçalament de la taula (user)"/>
    <w:basedOn w:val="Contingutdelataulauser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LibreOffice/26.2.4.2$Windows_X86_64 LibreOffice_project/0229ac93fcf0d7cbc6376066c6f35021cef002dc</Application>
  <AppVersion>15.0000</AppVersion>
  <Pages>2</Pages>
  <Words>314</Words>
  <Characters>1999</Characters>
  <CharactersWithSpaces>2282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2026-10-05T12:14:40Z</dcterms:created>
  <dc:creator/>
  <dc:description/>
  <dc:language>es-ES</dc:language>
  <cp:lastModifiedBy/>
  <dcterms:modified xsi:type="dcterms:W3CDTF">2026-10-05T12:22:14Z</dcterms:modified>
  <cp:revision>5</cp:revision>
  <dc:subject/>
  <dc:title/>
</cp:coreProperties>
</file>