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numPr>
          <w:ilvl w:val="0"/>
          <w:numId w:val="1"/>
        </w:numPr>
        <w:spacing w:lineRule="auto" w:line="276" w:before="57" w:after="57"/>
        <w:ind w:hanging="0" w:left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→ </w:t>
      </w:r>
      <w:r>
        <w:rPr>
          <w:rFonts w:cs="Arial"/>
          <w:b/>
          <w:bCs/>
          <w:sz w:val="22"/>
          <w:szCs w:val="22"/>
          <w:u w:val="single"/>
        </w:rPr>
        <w:t>Proposta econòmica i documentació tècnica avaluable de forma automàtica</w:t>
      </w:r>
    </w:p>
    <w:p>
      <w:pPr>
        <w:pStyle w:val="Textbody"/>
        <w:numPr>
          <w:ilvl w:val="0"/>
          <w:numId w:val="1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Textbody"/>
        <w:numPr>
          <w:ilvl w:val="0"/>
          <w:numId w:val="1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t>L’encapçalament d’aquesta documentació serà el següent:</w:t>
      </w:r>
    </w:p>
    <w:p>
      <w:pPr>
        <w:pStyle w:val="Textbody"/>
        <w:numPr>
          <w:ilvl w:val="0"/>
          <w:numId w:val="1"/>
        </w:numPr>
        <w:spacing w:before="0" w:after="0"/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Standard"/>
        <w:numPr>
          <w:ilvl w:val="0"/>
          <w:numId w:val="1"/>
        </w:numPr>
        <w:spacing w:lineRule="auto" w:line="276" w:before="57" w:after="57"/>
        <w:ind w:hanging="0" w:left="0"/>
        <w:jc w:val="both"/>
        <w:rPr>
          <w:rFonts w:ascii="Arial" w:hAnsi="Arial"/>
          <w:sz w:val="22"/>
          <w:szCs w:val="22"/>
        </w:rPr>
      </w:pPr>
      <w:r>
        <w:rPr>
          <w:rFonts w:cs="Arial"/>
          <w:b/>
          <w:bCs/>
          <w:i/>
          <w:iCs/>
          <w:sz w:val="22"/>
          <w:szCs w:val="22"/>
        </w:rPr>
        <w:t xml:space="preserve">«Exp. 20..../.....: Proposició econòmica avaluable de forma automàtica  per participar en el procediment obert per a la contractació del servei de.....................................  presentada per .......……...» </w:t>
      </w:r>
      <w:r>
        <w:rPr>
          <w:rFonts w:cs="Arial"/>
          <w:i/>
          <w:iCs/>
          <w:sz w:val="22"/>
          <w:szCs w:val="22"/>
        </w:rPr>
        <w:t xml:space="preserve"> 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i w:val="false"/>
          <w:iCs w:val="false"/>
          <w:sz w:val="22"/>
          <w:szCs w:val="22"/>
        </w:rPr>
      </w:pPr>
      <w:r>
        <w:rPr>
          <w:i w:val="false"/>
          <w:iCs w:val="false"/>
          <w:sz w:val="22"/>
          <w:szCs w:val="22"/>
        </w:rPr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"En/Na ......................................... amb NIF núm. ................, en nom propi, (o en representació de l'empresa .............., CIF núm. .............., domiciliada a ........... carrer ........................, núm. .......), assabentat/da de les condicions exigides per optar a la contractació relativa al contracte de servei ......................................................, es  compromet a portar-la a terme amb subjecció als Plecs de Prescripcions Tècniques Particulars i de Clàusules Administratives Particulars  amb les següents condicions:</w:t>
      </w:r>
    </w:p>
    <w:p>
      <w:pPr>
        <w:pStyle w:val="Textbody"/>
        <w:numPr>
          <w:ilvl w:val="0"/>
          <w:numId w:val="1"/>
        </w:numPr>
        <w:ind w:hanging="0" w:left="0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widowControl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textAlignment w:val="baseline"/>
        <w:rPr/>
      </w:pPr>
      <w:bookmarkStart w:id="0" w:name="__RefHeading___Toc41105_3085401577"/>
      <w:bookmarkStart w:id="1" w:name="Còpia_de___RefHeading___Toc27218_1041666"/>
      <w:bookmarkEnd w:id="0"/>
      <w:bookmarkEnd w:id="1"/>
      <w:r>
        <w:rPr>
          <w:rStyle w:val="Strong"/>
          <w:rFonts w:eastAsia="Arial" w:cs="Times New Roman" w:ascii="Arial" w:hAnsi="Arial"/>
          <w:color w:val="000000"/>
          <w:kern w:val="2"/>
          <w:sz w:val="22"/>
          <w:szCs w:val="22"/>
          <w:lang w:val="ca-ES" w:eastAsia="zh-CN" w:bidi="hi-IN"/>
        </w:rPr>
        <w:t>B.- CRITERIS AVALUABLES DE FORMA AUTOMÀTICA DEL SERVEI DE NETEJA I BUGADERIA (Fins a 54 punts)</w:t>
      </w:r>
    </w:p>
    <w:p>
      <w:pPr>
        <w:pStyle w:val="Textbody"/>
        <w:numPr>
          <w:ilvl w:val="0"/>
          <w:numId w:val="1"/>
        </w:numPr>
        <w:ind w:hanging="0" w:left="0"/>
        <w:jc w:val="both"/>
        <w:rPr>
          <w:rStyle w:val="Strong"/>
          <w:rFonts w:ascii="Arial" w:hAnsi="Arial" w:eastAsia="Arial" w:cs="Arial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Cs w:val="21"/>
          <w:highlight w:val="none"/>
          <w:u w:val="none"/>
          <w:shd w:fill="auto" w:val="clear"/>
          <w:vertAlign w:val="baseline"/>
        </w:rPr>
      </w:pPr>
      <w:r>
        <w:rPr>
          <w:rFonts w:eastAsia="Arial" w:cs="Arial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Cs w:val="21"/>
          <w:u w:val="none"/>
          <w:shd w:fill="auto" w:val="clear"/>
          <w:vertAlign w:val="baseline"/>
        </w:rPr>
      </w:r>
    </w:p>
    <w:p>
      <w:pPr>
        <w:pStyle w:val="Heading3"/>
        <w:widowControl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textAlignment w:val="baseline"/>
        <w:rPr/>
      </w:pPr>
      <w:bookmarkStart w:id="2" w:name="__RefHeading___Toc41107_3085401577"/>
      <w:bookmarkEnd w:id="2"/>
      <w:r>
        <w:rPr>
          <w:rStyle w:val="Strong"/>
          <w:rFonts w:eastAsia="Arial" w:cs="Times New Roman" w:ascii="Arial" w:hAnsi="Arial"/>
          <w:color w:val="000000"/>
          <w:kern w:val="2"/>
          <w:sz w:val="22"/>
          <w:szCs w:val="22"/>
          <w:lang w:val="ca-ES" w:eastAsia="zh-CN" w:bidi="hi-IN"/>
        </w:rPr>
        <w:t>B.1.- Proposta econòmica (Fins a 44,5 punts):</w:t>
      </w:r>
    </w:p>
    <w:p>
      <w:pPr>
        <w:pStyle w:val="Textbody"/>
        <w:numPr>
          <w:ilvl w:val="0"/>
          <w:numId w:val="1"/>
        </w:numPr>
        <w:ind w:hanging="0" w:left="0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bidi w:val="0"/>
        <w:ind w:hanging="0" w:left="0"/>
        <w:jc w:val="left"/>
        <w:rPr/>
      </w:pPr>
      <w:r>
        <w:rPr>
          <w:rStyle w:val="Strong"/>
          <w:rFonts w:eastAsia="Arial" w:cs="Arial" w:ascii="Arial" w:hAnsi="Arial"/>
          <w:color w:val="000000"/>
          <w:sz w:val="22"/>
          <w:szCs w:val="22"/>
        </w:rPr>
        <w:t>Oferta econòmica corresponent als dos anys del període executiu del contracte:</w:t>
      </w:r>
    </w:p>
    <w:p>
      <w:pPr>
        <w:pStyle w:val="Textbody"/>
        <w:numPr>
          <w:ilvl w:val="0"/>
          <w:numId w:val="1"/>
        </w:numPr>
        <w:ind w:hanging="0" w:left="0"/>
        <w:jc w:val="both"/>
        <w:rPr/>
      </w:pPr>
      <w:r>
        <w:rPr>
          <w:rStyle w:val="Strong"/>
          <w:rFonts w:eastAsia="Arial" w:cs="Arial"/>
          <w:b w:val="false"/>
          <w:bCs w:val="false"/>
          <w:i/>
          <w:iCs/>
          <w:color w:val="111111"/>
          <w:sz w:val="22"/>
          <w:szCs w:val="22"/>
        </w:rPr>
        <w:t xml:space="preserve">El pressupost base de licitació corresponent als dos anys del període executiu és de 254.280,68 €, IVA exclòs. L’oferta econòmica no podrà superar aquest import. En cas contrari, l’oferta serà exclosa. </w:t>
      </w:r>
    </w:p>
    <w:p>
      <w:pPr>
        <w:pStyle w:val="Textbody"/>
        <w:numPr>
          <w:ilvl w:val="0"/>
          <w:numId w:val="1"/>
        </w:numPr>
        <w:ind w:hanging="0" w:left="0"/>
        <w:jc w:val="both"/>
        <w:rPr>
          <w:b w:val="false"/>
          <w:bCs w:val="false"/>
          <w:i/>
          <w:iCs/>
          <w:color w:val="111111"/>
          <w:sz w:val="22"/>
          <w:szCs w:val="22"/>
        </w:rPr>
      </w:pPr>
      <w:r>
        <w:rPr>
          <w:b w:val="false"/>
          <w:bCs w:val="false"/>
          <w:i/>
          <w:iCs/>
          <w:color w:val="111111"/>
          <w:sz w:val="22"/>
          <w:szCs w:val="22"/>
        </w:rPr>
      </w:r>
    </w:p>
    <w:tbl>
      <w:tblPr>
        <w:tblW w:w="7200" w:type="dxa"/>
        <w:jc w:val="left"/>
        <w:tblInd w:w="10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33"/>
        <w:gridCol w:w="3467"/>
      </w:tblGrid>
      <w:tr>
        <w:trPr/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>Import de l’oferta, IVA exclòs: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sz w:val="22"/>
                <w:szCs w:val="22"/>
              </w:rPr>
              <w:t>________________________€</w:t>
            </w:r>
          </w:p>
        </w:tc>
      </w:tr>
      <w:tr>
        <w:trPr/>
        <w:tc>
          <w:tcPr>
            <w:tcW w:w="3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>IVA (21 %)</w:t>
            </w:r>
          </w:p>
        </w:tc>
        <w:tc>
          <w:tcPr>
            <w:tcW w:w="3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sz w:val="22"/>
                <w:szCs w:val="22"/>
              </w:rPr>
              <w:t>________________________€</w:t>
            </w:r>
          </w:p>
        </w:tc>
      </w:tr>
      <w:tr>
        <w:trPr/>
        <w:tc>
          <w:tcPr>
            <w:tcW w:w="3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rPr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  <w:t>Import total, IVA inclòs</w:t>
            </w:r>
          </w:p>
        </w:tc>
        <w:tc>
          <w:tcPr>
            <w:tcW w:w="3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sz w:val="22"/>
                <w:szCs w:val="22"/>
              </w:rPr>
              <w:t>________________________€</w:t>
            </w:r>
          </w:p>
        </w:tc>
      </w:tr>
    </w:tbl>
    <w:p>
      <w:pPr>
        <w:pStyle w:val="BodyText"/>
        <w:numPr>
          <w:ilvl w:val="0"/>
          <w:numId w:val="1"/>
        </w:numPr>
        <w:suppressAutoHyphens w:val="true"/>
        <w:bidi w:val="0"/>
        <w:ind w:hanging="0" w:left="0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color w:val="000000"/>
          <w:sz w:val="22"/>
          <w:szCs w:val="22"/>
        </w:rPr>
      </w:r>
    </w:p>
    <w:p>
      <w:pPr>
        <w:pStyle w:val="BodyText"/>
        <w:numPr>
          <w:ilvl w:val="0"/>
          <w:numId w:val="1"/>
        </w:numPr>
        <w:suppressAutoHyphens w:val="true"/>
        <w:bidi w:val="0"/>
        <w:ind w:hanging="0" w:left="0"/>
        <w:jc w:val="both"/>
        <w:rPr>
          <w:sz w:val="22"/>
          <w:szCs w:val="22"/>
        </w:rPr>
      </w:pPr>
      <w:r>
        <w:rPr>
          <w:rFonts w:eastAsia="Arial" w:cs="Arial" w:ascii="Arial" w:hAnsi="Arial"/>
          <w:color w:val="000000"/>
          <w:sz w:val="22"/>
          <w:szCs w:val="22"/>
        </w:rPr>
        <w:t>L’import ofert comprendrà la totalitat de les prestacions objecte del contracte durant els dos anys del període executiu.</w:t>
      </w:r>
    </w:p>
    <w:p>
      <w:pPr>
        <w:pStyle w:val="Standard"/>
        <w:numPr>
          <w:ilvl w:val="0"/>
          <w:numId w:val="1"/>
        </w:numPr>
        <w:spacing w:lineRule="auto" w:line="276" w:before="57" w:after="120"/>
        <w:ind w:hanging="0" w:left="0"/>
        <w:jc w:val="both"/>
        <w:rPr>
          <w:sz w:val="22"/>
          <w:szCs w:val="22"/>
        </w:rPr>
      </w:pPr>
      <w:r>
        <w:rPr>
          <w:rFonts w:eastAsia="Arial" w:cs="Arial"/>
          <w:b w:val="false"/>
          <w:bCs w:val="false"/>
          <w:i/>
          <w:iCs/>
          <w:color w:val="000000"/>
          <w:sz w:val="22"/>
          <w:szCs w:val="22"/>
        </w:rPr>
        <w:t>* En l’oferta econòmica s’haurà de desglossar els costos directes i indirectes, precisant el benefici industrial i les despeses generals, i s’imputarà l’IVA amb partida independent.</w:t>
      </w:r>
    </w:p>
    <w:p>
      <w:pPr>
        <w:pStyle w:val="Standard"/>
        <w:numPr>
          <w:ilvl w:val="0"/>
          <w:numId w:val="1"/>
        </w:numPr>
        <w:spacing w:lineRule="auto" w:line="276" w:before="57" w:after="120"/>
        <w:ind w:hanging="0" w:left="0"/>
        <w:jc w:val="both"/>
        <w:rPr/>
      </w:pPr>
      <w:r>
        <w:rPr>
          <w:rFonts w:eastAsia="Arial" w:cs="Arial"/>
          <w:b w:val="false"/>
          <w:bCs w:val="false"/>
          <w:i/>
          <w:iCs/>
          <w:color w:val="000000"/>
          <w:sz w:val="22"/>
          <w:szCs w:val="22"/>
        </w:rPr>
        <w:t xml:space="preserve">** </w:t>
      </w:r>
      <w:r>
        <w:rPr>
          <w:rFonts w:eastAsia="Arial" w:cs="Arial"/>
          <w:b w:val="false"/>
          <w:bCs w:val="false"/>
          <w:i/>
          <w:iCs/>
          <w:color w:val="111111"/>
          <w:sz w:val="22"/>
          <w:szCs w:val="22"/>
        </w:rPr>
        <w:t>Si s’excedeix la quantia del pressupost base de licitació sense IVA, l’oferta serà exclosa.</w:t>
      </w:r>
    </w:p>
    <w:p>
      <w:pPr>
        <w:pStyle w:val="Heading3"/>
        <w:widowControl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textAlignment w:val="baseline"/>
        <w:rPr/>
      </w:pPr>
      <w:bookmarkStart w:id="3" w:name="__RefHeading___Toc26963_3085401577"/>
      <w:bookmarkEnd w:id="3"/>
      <w:r>
        <w:rPr>
          <w:rStyle w:val="Strong"/>
          <w:rFonts w:eastAsia="Arial" w:cs="Times New Roman" w:ascii="Arial" w:hAnsi="Arial"/>
          <w:color w:val="000000"/>
          <w:kern w:val="2"/>
          <w:sz w:val="22"/>
          <w:szCs w:val="22"/>
          <w:lang w:val="ca-ES" w:eastAsia="zh-CN" w:bidi="hi-IN"/>
        </w:rPr>
        <w:t>B.2. Temps de resposta davant d’una neteja extraordinària, imprevista o urgent (Fins a 0,5 punts)</w:t>
      </w:r>
    </w:p>
    <w:p>
      <w:pPr>
        <w:pStyle w:val="BodyText"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rPr>
          <w:rFonts w:ascii="Arial" w:hAnsi="Arial" w:eastAsia="Arial" w:cs="Times New Roman"/>
          <w:color w:val="000000"/>
          <w:sz w:val="20"/>
          <w:szCs w:val="20"/>
        </w:rPr>
      </w:pPr>
      <w:r>
        <w:rPr>
          <w:rFonts w:eastAsia="Arial" w:cs="Times New Roman" w:ascii="Arial" w:hAnsi="Arial"/>
          <w:color w:val="000000"/>
          <w:sz w:val="22"/>
          <w:szCs w:val="22"/>
        </w:rPr>
        <w:t>L’empresa licitadora assumeix el compromís següent (</w:t>
      </w:r>
      <w:r>
        <w:rPr>
          <w:rStyle w:val="Strong"/>
          <w:rFonts w:eastAsia="Arial" w:cs="Times New Roman" w:ascii="Arial" w:hAnsi="Arial"/>
          <w:color w:val="000000"/>
          <w:sz w:val="22"/>
          <w:szCs w:val="22"/>
        </w:rPr>
        <w:t>marcar una única opció</w:t>
      </w:r>
      <w:r>
        <w:rPr>
          <w:rFonts w:eastAsia="Arial" w:cs="Times New Roman" w:ascii="Arial" w:hAnsi="Arial"/>
          <w:color w:val="000000"/>
          <w:sz w:val="22"/>
          <w:szCs w:val="22"/>
        </w:rPr>
        <w:t>):</w:t>
      </w:r>
    </w:p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713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321"/>
        <w:gridCol w:w="1562"/>
        <w:gridCol w:w="1250"/>
      </w:tblGrid>
      <w:tr>
        <w:trPr/>
        <w:tc>
          <w:tcPr>
            <w:tcW w:w="432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Compromís ofert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Marcar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Punts</w:t>
            </w:r>
          </w:p>
        </w:tc>
      </w:tr>
      <w:tr>
        <w:trPr/>
        <w:tc>
          <w:tcPr>
            <w:tcW w:w="4321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Temps de resposta igual o inferior a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1 hora</w:t>
            </w:r>
          </w:p>
        </w:tc>
        <w:tc>
          <w:tcPr>
            <w:tcW w:w="1562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250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0,5</w:t>
            </w:r>
          </w:p>
        </w:tc>
      </w:tr>
      <w:tr>
        <w:trPr>
          <w:trHeight w:val="557" w:hRule="atLeast"/>
        </w:trPr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Temps de resposta superior a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1 hora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</w:t>
            </w:r>
          </w:p>
        </w:tc>
      </w:tr>
    </w:tbl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jc w:val="both"/>
        <w:rPr>
          <w:rStyle w:val="Fuentedeprrafopredeter1"/>
          <w:rFonts w:ascii="Arial" w:hAnsi="Arial"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jc w:val="both"/>
        <w:rPr>
          <w:sz w:val="20"/>
          <w:szCs w:val="20"/>
        </w:rPr>
      </w:pPr>
      <w:r>
        <w:rPr>
          <w:rStyle w:val="Fuentedeprrafopredeter1"/>
          <w:rFonts w:eastAsia="Arial" w:cs="Times New Roman"/>
          <w:color w:val="000000"/>
          <w:sz w:val="22"/>
          <w:szCs w:val="22"/>
        </w:rPr>
        <w:t xml:space="preserve">*S’entén per temps de resposta el període comprès entre la comunicació de la incidència per part del Consorci i l’inici efectiu de l’actuació corresponent. En tot cas, s’hauran de respectar els terminis màxims establerts al PPT. 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numPr>
          <w:ilvl w:val="0"/>
          <w:numId w:val="1"/>
        </w:numPr>
        <w:bidi w:val="0"/>
        <w:spacing w:lineRule="auto" w:line="276" w:before="57" w:after="57"/>
        <w:ind w:hanging="0" w:left="0"/>
        <w:jc w:val="both"/>
        <w:rPr>
          <w:sz w:val="20"/>
          <w:szCs w:val="20"/>
        </w:rPr>
      </w:pPr>
      <w:bookmarkStart w:id="4" w:name="__RefHeading___Toc26965_3085401577"/>
      <w:bookmarkEnd w:id="4"/>
      <w:r>
        <w:rPr>
          <w:rStyle w:val="Strong"/>
          <w:rFonts w:eastAsia="Arial" w:cs="Times New Roman" w:ascii="Arial" w:hAnsi="Arial"/>
          <w:color w:val="000000"/>
          <w:sz w:val="22"/>
          <w:szCs w:val="22"/>
        </w:rPr>
        <w:t>B.3. Temps de resposta davant necessitats extraordinàries o urgents del servei de bugaderia (Fins a 6 punts)</w:t>
      </w:r>
    </w:p>
    <w:p>
      <w:pPr>
        <w:pStyle w:val="BodyText"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both"/>
        <w:rPr>
          <w:rFonts w:ascii="Arial" w:hAnsi="Arial" w:eastAsia="Arial" w:cs="Times New Roman"/>
          <w:color w:val="000000"/>
          <w:sz w:val="20"/>
          <w:szCs w:val="20"/>
        </w:rPr>
      </w:pPr>
      <w:r>
        <w:rPr>
          <w:rFonts w:eastAsia="Arial" w:cs="Times New Roman" w:ascii="Arial" w:hAnsi="Arial"/>
          <w:color w:val="000000"/>
          <w:sz w:val="22"/>
          <w:szCs w:val="22"/>
        </w:rPr>
        <w:t>L’empresa licitadora assumeix, per a la recollida, tractament i retorn de la roba en cas de necessitat extraordinària, imprevista o urgent, el compromís següent (</w:t>
      </w:r>
      <w:r>
        <w:rPr>
          <w:rStyle w:val="Strong"/>
          <w:rFonts w:eastAsia="Arial" w:cs="Times New Roman" w:ascii="Arial" w:hAnsi="Arial"/>
          <w:color w:val="000000"/>
          <w:sz w:val="22"/>
          <w:szCs w:val="22"/>
        </w:rPr>
        <w:t>marcar una única opció</w:t>
      </w:r>
      <w:r>
        <w:rPr>
          <w:rFonts w:eastAsia="Arial" w:cs="Times New Roman" w:ascii="Arial" w:hAnsi="Arial"/>
          <w:color w:val="000000"/>
          <w:sz w:val="22"/>
          <w:szCs w:val="22"/>
        </w:rPr>
        <w:t>):</w:t>
      </w:r>
    </w:p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35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848"/>
        <w:gridCol w:w="1202"/>
        <w:gridCol w:w="1304"/>
      </w:tblGrid>
      <w:tr>
        <w:trPr/>
        <w:tc>
          <w:tcPr>
            <w:tcW w:w="684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Compromís ofert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Marcar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Punts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Recollida, tractament i retorn en un termini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inferior a 12 hores</w:t>
            </w:r>
          </w:p>
        </w:tc>
        <w:tc>
          <w:tcPr>
            <w:tcW w:w="1202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04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6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Recollida, tractament i retorn en un termini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igual o superior a 12 hores i igual o inferior a 24 hores</w:t>
            </w:r>
          </w:p>
        </w:tc>
        <w:tc>
          <w:tcPr>
            <w:tcW w:w="1202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04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3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Recollida, tractament i retorn en un termini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superior a 24 hores</w:t>
            </w:r>
          </w:p>
        </w:tc>
        <w:tc>
          <w:tcPr>
            <w:tcW w:w="12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</w:t>
            </w:r>
          </w:p>
        </w:tc>
      </w:tr>
    </w:tbl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numPr>
          <w:ilvl w:val="0"/>
          <w:numId w:val="1"/>
        </w:numPr>
        <w:bidi w:val="0"/>
        <w:spacing w:lineRule="auto" w:line="276" w:before="57" w:after="57"/>
        <w:ind w:hanging="0" w:left="0"/>
        <w:jc w:val="left"/>
        <w:rPr>
          <w:b/>
          <w:bCs/>
        </w:rPr>
      </w:pPr>
      <w:bookmarkStart w:id="5" w:name="__RefHeading___Toc26967_3085401577"/>
      <w:bookmarkEnd w:id="5"/>
      <w:r>
        <w:rPr>
          <w:rFonts w:eastAsia="Arial" w:cs="Times New Roman" w:ascii="Arial" w:hAnsi="Arial"/>
          <w:b/>
          <w:bCs/>
          <w:color w:val="000000"/>
          <w:sz w:val="22"/>
          <w:szCs w:val="22"/>
        </w:rPr>
        <w:t>B.4. Vehicles de baixes emissions vinculats directament al servei (Fins a 1 punt)</w:t>
      </w:r>
    </w:p>
    <w:p>
      <w:pPr>
        <w:pStyle w:val="BodyText"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rPr>
          <w:rFonts w:ascii="Arial" w:hAnsi="Arial" w:eastAsia="Arial" w:cs="Times New Roman"/>
          <w:color w:val="000000"/>
          <w:sz w:val="22"/>
          <w:szCs w:val="22"/>
        </w:rPr>
      </w:pPr>
      <w:r>
        <w:rPr>
          <w:rFonts w:eastAsia="Arial" w:cs="Times New Roman" w:ascii="Arial" w:hAnsi="Arial"/>
          <w:color w:val="000000"/>
          <w:sz w:val="22"/>
          <w:szCs w:val="22"/>
        </w:rPr>
        <w:t>Respecte dels vehicles que s’utilitzin directament en l’execució del contracte per al transport de materials, maquinària o altres necessitats pròpies del servei, l’empresa assumeix el compromís següent (</w:t>
      </w:r>
      <w:r>
        <w:rPr>
          <w:rStyle w:val="Strong"/>
          <w:rFonts w:eastAsia="Arial" w:cs="Times New Roman" w:ascii="Arial" w:hAnsi="Arial"/>
          <w:color w:val="000000"/>
          <w:sz w:val="22"/>
          <w:szCs w:val="22"/>
        </w:rPr>
        <w:t>marcar una única opció</w:t>
      </w:r>
      <w:r>
        <w:rPr>
          <w:rFonts w:eastAsia="Arial" w:cs="Times New Roman" w:ascii="Arial" w:hAnsi="Arial"/>
          <w:color w:val="000000"/>
          <w:sz w:val="22"/>
          <w:szCs w:val="22"/>
        </w:rPr>
        <w:t>):</w:t>
      </w:r>
    </w:p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35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848"/>
        <w:gridCol w:w="1130"/>
        <w:gridCol w:w="1376"/>
      </w:tblGrid>
      <w:tr>
        <w:trPr/>
        <w:tc>
          <w:tcPr>
            <w:tcW w:w="684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Compromís ofert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Marcar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Punts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El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100 % dels vehicles</w:t>
            </w: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 vinculats directament al servei disposaran de distintiu ambiental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ZERO Emissions</w:t>
            </w:r>
          </w:p>
        </w:tc>
        <w:tc>
          <w:tcPr>
            <w:tcW w:w="1130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76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1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El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100 % dels vehicles</w:t>
            </w: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 vinculats directament al servei disposaran, com a mínim, de distintiu ambiental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ECO</w:t>
            </w:r>
          </w:p>
        </w:tc>
        <w:tc>
          <w:tcPr>
            <w:tcW w:w="1130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76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0,5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No s’assumeix cap dels compromisos anteriors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</w:t>
            </w:r>
          </w:p>
        </w:tc>
      </w:tr>
    </w:tbl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widowControl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textAlignment w:val="baseline"/>
        <w:rPr/>
      </w:pPr>
      <w:bookmarkStart w:id="6" w:name="__RefHeading___Toc26969_3085401577"/>
      <w:bookmarkEnd w:id="6"/>
      <w:r>
        <w:rPr>
          <w:rStyle w:val="Strong"/>
          <w:rFonts w:eastAsia="Arial" w:cs="Times New Roman" w:ascii="Arial" w:hAnsi="Arial"/>
          <w:b/>
          <w:bCs/>
          <w:color w:val="000000"/>
          <w:kern w:val="2"/>
          <w:sz w:val="22"/>
          <w:szCs w:val="22"/>
          <w:lang w:val="ca-ES" w:eastAsia="zh-CN" w:bidi="hi-IN"/>
        </w:rPr>
        <w:t>B.5. Sistema de control horari del personal adscrit al servei (Fins a 0,5 punts)</w:t>
      </w:r>
    </w:p>
    <w:p>
      <w:pPr>
        <w:pStyle w:val="BodyText"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rPr>
          <w:rFonts w:ascii="Arial" w:hAnsi="Arial" w:eastAsia="Arial" w:cs="Times New Roman"/>
          <w:color w:val="000000"/>
          <w:sz w:val="22"/>
          <w:szCs w:val="22"/>
        </w:rPr>
      </w:pPr>
      <w:r>
        <w:rPr>
          <w:rFonts w:eastAsia="Arial" w:cs="Times New Roman" w:ascii="Arial" w:hAnsi="Arial"/>
          <w:color w:val="000000"/>
          <w:sz w:val="22"/>
          <w:szCs w:val="22"/>
        </w:rPr>
        <w:t>L’empresa licitadora manifesta (</w:t>
      </w:r>
      <w:r>
        <w:rPr>
          <w:rStyle w:val="Strong"/>
          <w:rFonts w:eastAsia="Arial" w:cs="Times New Roman" w:ascii="Arial" w:hAnsi="Arial"/>
          <w:color w:val="000000"/>
          <w:sz w:val="22"/>
          <w:szCs w:val="22"/>
        </w:rPr>
        <w:t>marcar una única opció</w:t>
      </w:r>
      <w:r>
        <w:rPr>
          <w:rFonts w:eastAsia="Arial" w:cs="Times New Roman" w:ascii="Arial" w:hAnsi="Arial"/>
          <w:color w:val="000000"/>
          <w:sz w:val="22"/>
          <w:szCs w:val="22"/>
        </w:rPr>
        <w:t>):</w:t>
      </w:r>
    </w:p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35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848"/>
        <w:gridCol w:w="1130"/>
        <w:gridCol w:w="1376"/>
      </w:tblGrid>
      <w:tr>
        <w:trPr/>
        <w:tc>
          <w:tcPr>
            <w:tcW w:w="684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Compromís ofert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Marcar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Punts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S’ofereix un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sistema digital de control horari</w:t>
            </w: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 amb registres individualitzats d’entrada i sortida i auditables o consultables pel Consorci</w:t>
            </w:r>
          </w:p>
        </w:tc>
        <w:tc>
          <w:tcPr>
            <w:tcW w:w="1130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76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0,5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No s’ofereix un sistema amb aquestes característiques</w:t>
            </w: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</w:t>
            </w:r>
          </w:p>
        </w:tc>
      </w:tr>
    </w:tbl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widowControl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textAlignment w:val="baseline"/>
        <w:rPr/>
      </w:pPr>
      <w:bookmarkStart w:id="7" w:name="__RefHeading___Toc26971_3085401577"/>
      <w:bookmarkEnd w:id="7"/>
      <w:r>
        <w:rPr>
          <w:rStyle w:val="Strong"/>
          <w:rFonts w:eastAsia="Arial" w:cs="Times New Roman" w:ascii="Arial" w:hAnsi="Arial"/>
          <w:color w:val="000000"/>
          <w:kern w:val="2"/>
          <w:sz w:val="22"/>
          <w:szCs w:val="22"/>
          <w:lang w:val="ca-ES" w:eastAsia="zh-CN" w:bidi="hi-IN"/>
        </w:rPr>
        <w:t>B.6. Temps de cobertura de baixes i absències del personal (Fins a 1,5 punts)</w:t>
      </w:r>
    </w:p>
    <w:p>
      <w:pPr>
        <w:pStyle w:val="BodyText"/>
        <w:numPr>
          <w:ilvl w:val="0"/>
          <w:numId w:val="1"/>
        </w:numPr>
        <w:suppressAutoHyphens w:val="true"/>
        <w:bidi w:val="0"/>
        <w:spacing w:lineRule="auto" w:line="276" w:before="57" w:after="57"/>
        <w:ind w:hanging="0" w:left="0"/>
        <w:jc w:val="left"/>
        <w:rPr>
          <w:rFonts w:ascii="Arial" w:hAnsi="Arial" w:eastAsia="Arial" w:cs="Times New Roman"/>
          <w:color w:val="000000"/>
          <w:sz w:val="22"/>
          <w:szCs w:val="22"/>
        </w:rPr>
      </w:pPr>
      <w:r>
        <w:rPr>
          <w:rFonts w:eastAsia="Arial" w:cs="Times New Roman" w:ascii="Arial" w:hAnsi="Arial"/>
          <w:color w:val="000000"/>
          <w:sz w:val="22"/>
          <w:szCs w:val="22"/>
        </w:rPr>
        <w:t>En cas de baixa, absència sobrevinguda o qualsevol altra circumstància que impedeixi la prestació ordinària del servei, l’empresa licitadora assumeix el compromís següent (</w:t>
      </w:r>
      <w:r>
        <w:rPr>
          <w:rStyle w:val="Strong"/>
          <w:rFonts w:eastAsia="Arial" w:cs="Times New Roman" w:ascii="Arial" w:hAnsi="Arial"/>
          <w:color w:val="000000"/>
          <w:sz w:val="22"/>
          <w:szCs w:val="22"/>
        </w:rPr>
        <w:t>marcar una única opció</w:t>
      </w:r>
      <w:r>
        <w:rPr>
          <w:rFonts w:eastAsia="Arial" w:cs="Times New Roman" w:ascii="Arial" w:hAnsi="Arial"/>
          <w:color w:val="000000"/>
          <w:sz w:val="22"/>
          <w:szCs w:val="22"/>
        </w:rPr>
        <w:t>):</w:t>
      </w:r>
    </w:p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35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848"/>
        <w:gridCol w:w="1085"/>
        <w:gridCol w:w="1421"/>
      </w:tblGrid>
      <w:tr>
        <w:trPr/>
        <w:tc>
          <w:tcPr>
            <w:tcW w:w="684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Compromís ofert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Marcar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Punts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Substitució en un termini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inferior a 2 hores</w:t>
            </w:r>
          </w:p>
        </w:tc>
        <w:tc>
          <w:tcPr>
            <w:tcW w:w="1085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421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1,5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Substitució en un termini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igual o superior a 2 hores i igual o inferior a 4 hores</w:t>
            </w:r>
          </w:p>
        </w:tc>
        <w:tc>
          <w:tcPr>
            <w:tcW w:w="1085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421" w:type="dxa"/>
            <w:tcBorders>
              <w:lef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0,75</w:t>
            </w:r>
          </w:p>
        </w:tc>
      </w:tr>
      <w:tr>
        <w:trPr/>
        <w:tc>
          <w:tcPr>
            <w:tcW w:w="68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textAlignment w:val="baseline"/>
              <w:rPr/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 xml:space="preserve">Substitució en un termini </w:t>
            </w:r>
            <w:r>
              <w:rPr>
                <w:rStyle w:val="Strong"/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superior a 4 hores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☐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1"/>
              </w:numPr>
              <w:suppressAutoHyphens w:val="true"/>
              <w:bidi w:val="0"/>
              <w:spacing w:before="0" w:after="120"/>
              <w:ind w:hanging="0" w:left="0"/>
              <w:jc w:val="center"/>
              <w:textAlignment w:val="baseline"/>
              <w:rPr>
                <w:rFonts w:ascii="Arial" w:hAnsi="Arial" w:eastAsia="Arial" w:cs="Arial"/>
                <w:color w:val="000000"/>
                <w:kern w:val="2"/>
                <w:sz w:val="22"/>
                <w:szCs w:val="22"/>
                <w:lang w:val="ca-ES" w:eastAsia="zh-CN" w:bidi="hi-IN"/>
              </w:rPr>
            </w:pPr>
            <w:r>
              <w:rPr>
                <w:rFonts w:eastAsia="Arial" w:cs="Arial" w:ascii="Arial" w:hAnsi="Arial"/>
                <w:color w:val="000000"/>
                <w:kern w:val="2"/>
                <w:sz w:val="22"/>
                <w:szCs w:val="22"/>
                <w:lang w:val="ca-ES" w:eastAsia="zh-CN" w:bidi="hi-IN"/>
              </w:rPr>
              <w:t>0</w:t>
            </w:r>
          </w:p>
        </w:tc>
      </w:tr>
    </w:tbl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numPr>
          <w:ilvl w:val="0"/>
          <w:numId w:val="1"/>
        </w:numPr>
        <w:spacing w:lineRule="auto" w:line="276" w:before="57" w:after="57"/>
        <w:ind w:hanging="0" w:left="0"/>
        <w:rPr>
          <w:sz w:val="22"/>
          <w:szCs w:val="22"/>
        </w:rPr>
      </w:pPr>
      <w:r>
        <w:rPr>
          <w:u w:val="single"/>
        </w:rPr>
        <w:t xml:space="preserve">*El termini es computarà des del moment en què l’empresa tingui coneixement de la necessitat de substitució. </w:t>
      </w:r>
    </w:p>
    <w:p>
      <w:pPr>
        <w:pStyle w:val="Textbody"/>
        <w:numPr>
          <w:ilvl w:val="0"/>
          <w:numId w:val="1"/>
        </w:numPr>
        <w:spacing w:before="57" w:after="57"/>
        <w:ind w:hanging="0" w:left="0"/>
        <w:jc w:val="both"/>
        <w:rPr>
          <w:rFonts w:ascii="Arial" w:hAnsi="Arial" w:eastAsia="Helvetica-Bold" w:cs="Helvetica-Bold"/>
          <w:sz w:val="22"/>
          <w:szCs w:val="22"/>
          <w:highlight w:val="white"/>
        </w:rPr>
      </w:pPr>
      <w:r>
        <w:rPr>
          <w:rFonts w:eastAsia="Helvetica-Bold" w:cs="Helvetica-Bold"/>
          <w:sz w:val="22"/>
          <w:szCs w:val="22"/>
          <w:highlight w:val="white"/>
        </w:rPr>
      </w:r>
    </w:p>
    <w:p>
      <w:pPr>
        <w:pStyle w:val="Textbody"/>
        <w:numPr>
          <w:ilvl w:val="0"/>
          <w:numId w:val="1"/>
        </w:numPr>
        <w:spacing w:before="57" w:after="57"/>
        <w:ind w:hanging="0" w:left="0"/>
        <w:jc w:val="both"/>
        <w:rPr>
          <w:rFonts w:ascii="Arial" w:hAnsi="Arial" w:eastAsia="Helvetica-Bold" w:cs="Helvetica-Bold"/>
          <w:sz w:val="22"/>
          <w:szCs w:val="22"/>
          <w:highlight w:val="white"/>
        </w:rPr>
      </w:pPr>
      <w:r>
        <w:rPr>
          <w:rFonts w:eastAsia="Helvetica-Bold" w:cs="Helvetica-Bold"/>
          <w:sz w:val="22"/>
          <w:szCs w:val="22"/>
          <w:highlight w:val="white"/>
        </w:rPr>
      </w:r>
    </w:p>
    <w:p>
      <w:pPr>
        <w:pStyle w:val="Textbody"/>
        <w:numPr>
          <w:ilvl w:val="0"/>
          <w:numId w:val="1"/>
        </w:numPr>
        <w:spacing w:before="57" w:after="57"/>
        <w:ind w:hanging="0" w:left="0"/>
        <w:jc w:val="both"/>
        <w:rPr>
          <w:rFonts w:ascii="Arial" w:hAnsi="Arial" w:eastAsia="Helvetica-Bold" w:cs="Helvetica-Bold"/>
          <w:sz w:val="22"/>
          <w:szCs w:val="22"/>
          <w:highlight w:val="white"/>
        </w:rPr>
      </w:pPr>
      <w:r>
        <w:rPr>
          <w:rFonts w:eastAsia="Helvetica-Bold" w:cs="Helvetica-Bold"/>
          <w:sz w:val="22"/>
          <w:szCs w:val="22"/>
          <w:highlight w:val="white"/>
        </w:rPr>
      </w:r>
    </w:p>
    <w:p>
      <w:pPr>
        <w:pStyle w:val="Textbody"/>
        <w:numPr>
          <w:ilvl w:val="0"/>
          <w:numId w:val="1"/>
        </w:numPr>
        <w:spacing w:before="57" w:after="57"/>
        <w:ind w:hanging="0" w:left="0"/>
        <w:jc w:val="both"/>
        <w:rPr>
          <w:rFonts w:ascii="Arial" w:hAnsi="Arial" w:eastAsia="Helvetica-Bold" w:cs="Helvetica-Bold"/>
          <w:sz w:val="22"/>
          <w:szCs w:val="22"/>
          <w:highlight w:val="white"/>
        </w:rPr>
      </w:pPr>
      <w:r>
        <w:rPr>
          <w:rFonts w:eastAsia="Helvetica-Bold" w:cs="Helvetica-Bold"/>
          <w:sz w:val="22"/>
          <w:szCs w:val="22"/>
          <w:highlight w:val="white"/>
        </w:rPr>
      </w:r>
    </w:p>
    <w:p>
      <w:pPr>
        <w:pStyle w:val="Textbody"/>
        <w:numPr>
          <w:ilvl w:val="0"/>
          <w:numId w:val="1"/>
        </w:numPr>
        <w:spacing w:before="57" w:after="57"/>
        <w:ind w:hanging="0" w:left="0"/>
        <w:jc w:val="both"/>
        <w:rPr>
          <w:rFonts w:ascii="Arial" w:hAnsi="Arial" w:eastAsia="Helvetica-Bold" w:cs="Helvetica-Bold"/>
          <w:sz w:val="22"/>
          <w:szCs w:val="22"/>
          <w:highlight w:val="white"/>
        </w:rPr>
      </w:pPr>
      <w:r>
        <w:rPr>
          <w:rFonts w:eastAsia="Helvetica-Bold" w:cs="Helvetica-Bold"/>
          <w:sz w:val="22"/>
          <w:szCs w:val="22"/>
          <w:highlight w:val="whit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40" w:after="0"/>
      <w:outlineLvl w:val="2"/>
    </w:pPr>
    <w:rPr>
      <w:rFonts w:ascii="Aptos Display" w:hAnsi="Aptos Display" w:eastAsia="" w:asciiTheme="majorHAnsi" w:eastAsiaTheme="majorEastAsia" w:hAnsiTheme="majorHAnsi"/>
      <w:color w:themeColor="accent1" w:themeShade="7f" w:val="0A2F40"/>
      <w:szCs w:val="21"/>
    </w:rPr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3</Pages>
  <Words>673</Words>
  <Characters>3877</Characters>
  <CharactersWithSpaces>4476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2026-09-30T08:14:44Z</dcterms:created>
  <dc:creator/>
  <dc:description/>
  <dc:language>es-ES</dc:language>
  <cp:lastModifiedBy/>
  <dcterms:modified xsi:type="dcterms:W3CDTF">2026-09-30T08:17:49Z</dcterms:modified>
  <cp:revision>4</cp:revision>
  <dc:subject/>
  <dc:title/>
</cp:coreProperties>
</file>