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4.0.0 -->
  <w:body>
    <w:p w:rsidR="00076437" w:rsidRPr="002963F7" w:rsidP="002963F7">
      <w:pPr>
        <w:jc w:val="center"/>
        <w:rPr>
          <w:rFonts w:ascii="Arial" w:hAnsi="Arial" w:cs="Arial"/>
          <w:b/>
          <w:sz w:val="22"/>
          <w:szCs w:val="22"/>
          <w:lang w:val="ca-ES"/>
        </w:rPr>
      </w:pPr>
      <w:r w:rsidRPr="002963F7">
        <w:rPr>
          <w:rFonts w:ascii="Arial" w:hAnsi="Arial" w:cs="Arial"/>
          <w:b/>
          <w:sz w:val="22"/>
          <w:szCs w:val="22"/>
          <w:lang w:val="ca-ES"/>
        </w:rPr>
        <w:t>ACORD</w:t>
      </w:r>
    </w:p>
    <w:p w:rsidR="00076437" w:rsidRPr="000C3CC0" w:rsidP="00CF7438">
      <w:pPr>
        <w:jc w:val="both"/>
        <w:rPr>
          <w:rFonts w:ascii="Arial" w:hAnsi="Arial" w:cs="Arial"/>
          <w:sz w:val="22"/>
          <w:szCs w:val="22"/>
          <w:lang w:val="ca-ES"/>
        </w:rPr>
      </w:pPr>
    </w:p>
    <w:p w:rsidR="00076437" w:rsidRPr="000C3CC0" w:rsidP="00CF7438">
      <w:pPr>
        <w:jc w:val="both"/>
        <w:rPr>
          <w:rFonts w:ascii="Arial" w:hAnsi="Arial" w:cs="Arial"/>
          <w:sz w:val="22"/>
          <w:szCs w:val="22"/>
          <w:lang w:val="ca-ES"/>
        </w:rPr>
      </w:pPr>
      <w:r>
        <w:rPr>
          <w:rFonts w:ascii="Arial" w:hAnsi="Arial" w:cs="Arial"/>
          <w:sz w:val="22"/>
          <w:szCs w:val="22"/>
          <w:lang w:val="ca-ES"/>
        </w:rPr>
        <w:t xml:space="preserve">La </w:t>
      </w:r>
      <w:r w:rsidR="00E6381A">
        <w:rPr>
          <w:rFonts w:ascii="Arial" w:hAnsi="Arial" w:cs="Arial"/>
          <w:sz w:val="22"/>
          <w:szCs w:val="22"/>
          <w:lang w:val="ca-ES"/>
        </w:rPr>
        <w:t>Junta de govern local</w:t>
      </w:r>
      <w:r>
        <w:rPr>
          <w:rFonts w:ascii="Arial" w:hAnsi="Arial" w:cs="Arial"/>
          <w:sz w:val="22"/>
          <w:szCs w:val="22"/>
          <w:lang w:val="ca-ES"/>
        </w:rPr>
        <w:t xml:space="preserve"> d'aquest </w:t>
      </w:r>
      <w:r w:rsidRPr="00CF7438">
        <w:rPr>
          <w:rFonts w:ascii="Arial" w:hAnsi="Arial" w:cs="Arial"/>
          <w:sz w:val="22"/>
          <w:szCs w:val="22"/>
          <w:lang w:val="ca-ES"/>
        </w:rPr>
        <w:t>Ajuntament</w:t>
      </w:r>
      <w:r>
        <w:rPr>
          <w:rFonts w:ascii="Arial" w:hAnsi="Arial" w:cs="Arial"/>
          <w:sz w:val="22"/>
          <w:szCs w:val="22"/>
          <w:lang w:val="ca-ES"/>
        </w:rPr>
        <w:t xml:space="preserve"> </w:t>
      </w:r>
      <w:r w:rsidRPr="00CF7438">
        <w:rPr>
          <w:rFonts w:ascii="Arial" w:hAnsi="Arial" w:cs="Arial"/>
          <w:sz w:val="22"/>
          <w:szCs w:val="22"/>
          <w:lang w:val="ca-ES"/>
        </w:rPr>
        <w:t xml:space="preserve">en sessió celebrada en data </w:t>
      </w:r>
      <w:r w:rsidR="00E6381A">
        <w:rPr>
          <w:rFonts w:ascii="Arial" w:hAnsi="Arial" w:cs="Arial"/>
          <w:sz w:val="22"/>
          <w:szCs w:val="22"/>
          <w:lang w:val="ca-ES"/>
        </w:rPr>
        <w:t>16 de setembre de 2026</w:t>
      </w:r>
      <w:r>
        <w:rPr>
          <w:rFonts w:ascii="Arial" w:hAnsi="Arial" w:cs="Arial"/>
          <w:sz w:val="22"/>
          <w:szCs w:val="22"/>
          <w:lang w:val="ca-ES"/>
        </w:rPr>
        <w:t xml:space="preserve"> en sessió de caràcter </w:t>
      </w:r>
      <w:r w:rsidR="00E6381A">
        <w:rPr>
          <w:rFonts w:ascii="Arial" w:hAnsi="Arial" w:cs="Arial"/>
          <w:sz w:val="22"/>
          <w:szCs w:val="22"/>
          <w:lang w:val="ca-ES"/>
        </w:rPr>
        <w:t>Ordinari</w:t>
      </w:r>
      <w:r>
        <w:rPr>
          <w:rFonts w:ascii="Arial" w:hAnsi="Arial" w:cs="Arial"/>
          <w:sz w:val="22"/>
          <w:szCs w:val="22"/>
          <w:lang w:val="ca-ES"/>
        </w:rPr>
        <w:t xml:space="preserve"> </w:t>
      </w:r>
      <w:r w:rsidRPr="00CF7438">
        <w:rPr>
          <w:rFonts w:ascii="Arial" w:hAnsi="Arial" w:cs="Arial"/>
          <w:sz w:val="22"/>
          <w:szCs w:val="22"/>
          <w:lang w:val="ca-ES"/>
        </w:rPr>
        <w:t>va adoptar entre altres, el següent acord:</w:t>
      </w:r>
    </w:p>
    <w:p w:rsidR="00076437" w:rsidRPr="000C3CC0" w:rsidP="001D4E39">
      <w:pPr>
        <w:rPr>
          <w:rFonts w:ascii="Arial" w:hAnsi="Arial" w:cs="Arial"/>
          <w:sz w:val="22"/>
          <w:szCs w:val="22"/>
          <w:lang w:val="ca-ES"/>
        </w:rPr>
      </w:pPr>
    </w:p>
    <w:p w:rsidR="00076437" w:rsidRPr="000C3CC0" w:rsidP="001D4E39">
      <w:pPr>
        <w:rPr>
          <w:rFonts w:ascii="Arial" w:hAnsi="Arial" w:cs="Arial"/>
          <w:sz w:val="22"/>
          <w:szCs w:val="22"/>
          <w:lang w:val="ca-ES"/>
        </w:rPr>
      </w:pPr>
      <w:bookmarkStart w:id="0" w:name="BLO__BDT"/>
    </w:p>
    <w:p w:rsidR="00076437" w:rsidP="001D4E39">
      <w:pPr>
        <w:rPr>
          <w:rFonts w:ascii="Arial" w:hAnsi="Arial" w:cs="Arial"/>
          <w:sz w:val="22"/>
          <w:szCs w:val="22"/>
          <w:lang w:val="ca-ES"/>
        </w:rPr>
      </w:pPr>
    </w:p>
    <w:p w:rsidR="003418F3" w:rsidP="003418F3">
      <w:pPr>
        <w:pStyle w:val="Normal0"/>
        <w:jc w:val="both"/>
        <w:rPr>
          <w:rStyle w:val="DefaultParagraphFont"/>
          <w:rFonts w:ascii="Arial" w:eastAsia="Times New Roman" w:hAnsi="Arial" w:cs="Arial"/>
          <w:b/>
          <w:bCs/>
          <w:shadow w:val="0"/>
          <w:sz w:val="22"/>
          <w:szCs w:val="22"/>
          <w:lang w:eastAsia="es-ES" w:bidi="ar-SA"/>
        </w:rPr>
      </w:pPr>
      <w:bookmarkStart w:id="1" w:name="_Hlk198025954_0"/>
      <w:bookmarkStart w:id="2" w:name="_Hlk193192147_0"/>
      <w:bookmarkStart w:id="3" w:name="BLO__BDT_0"/>
      <w:r>
        <w:rPr>
          <w:rStyle w:val="DefaultParagraphFont"/>
          <w:rFonts w:ascii="Arial" w:eastAsia="Times New Roman" w:hAnsi="Arial" w:cs="Arial"/>
          <w:b/>
          <w:bCs/>
          <w:shadow w:val="0"/>
          <w:sz w:val="22"/>
          <w:szCs w:val="22"/>
          <w:lang w:eastAsia="es-ES" w:bidi="ar-SA"/>
        </w:rPr>
        <w:t>Serveis Jurídics</w:t>
      </w:r>
    </w:p>
    <w:p w:rsidR="003418F3" w:rsidP="003418F3">
      <w:pPr>
        <w:pStyle w:val="Normal0"/>
        <w:jc w:val="both"/>
        <w:rPr>
          <w:rStyle w:val="DefaultParagraphFont"/>
          <w:rFonts w:ascii="Arial" w:eastAsia="Times New Roman" w:hAnsi="Arial" w:cs="Arial"/>
          <w:b/>
          <w:bCs/>
          <w:shadow w:val="0"/>
          <w:sz w:val="22"/>
          <w:szCs w:val="22"/>
          <w:lang w:eastAsia="es-ES" w:bidi="ar-SA"/>
        </w:rPr>
      </w:pPr>
      <w:r>
        <w:rPr>
          <w:rStyle w:val="DefaultParagraphFont"/>
          <w:rFonts w:ascii="Arial" w:eastAsia="Times New Roman" w:hAnsi="Arial" w:cs="Arial"/>
          <w:b/>
          <w:bCs/>
          <w:shadow w:val="0"/>
          <w:sz w:val="22"/>
          <w:szCs w:val="22"/>
          <w:lang w:eastAsia="es-ES" w:bidi="ar-SA"/>
        </w:rPr>
        <w:t>AG/RS/dg</w:t>
      </w:r>
    </w:p>
    <w:p w:rsidR="003418F3" w:rsidP="003418F3">
      <w:pPr>
        <w:pStyle w:val="Normal0"/>
        <w:jc w:val="both"/>
        <w:rPr>
          <w:rStyle w:val="DefaultParagraphFont"/>
          <w:rFonts w:ascii="Arial" w:eastAsia="Times New Roman" w:hAnsi="Arial" w:cs="Arial"/>
          <w:b/>
          <w:bCs/>
          <w:shadow w:val="0"/>
          <w:sz w:val="22"/>
          <w:szCs w:val="22"/>
          <w:lang w:eastAsia="es-ES" w:bidi="ar-SA"/>
        </w:rPr>
      </w:pPr>
      <w:r>
        <w:rPr>
          <w:rStyle w:val="DefaultParagraphFont"/>
          <w:rFonts w:ascii="Arial" w:eastAsia="Times New Roman" w:hAnsi="Arial" w:cs="Arial"/>
          <w:b/>
          <w:bCs/>
          <w:shadow w:val="0"/>
          <w:sz w:val="22"/>
          <w:szCs w:val="22"/>
          <w:lang w:eastAsia="es-ES" w:bidi="ar-SA"/>
        </w:rPr>
        <w:t>Exp. 2026/3964</w:t>
      </w:r>
    </w:p>
    <w:p w:rsidR="003418F3" w:rsidP="003418F3">
      <w:pPr>
        <w:pStyle w:val="Normal0"/>
        <w:jc w:val="both"/>
        <w:rPr>
          <w:rStyle w:val="DefaultParagraphFont"/>
          <w:rFonts w:ascii="Arial" w:eastAsia="Times New Roman" w:hAnsi="Arial" w:cs="Arial"/>
          <w:b/>
          <w:bCs/>
          <w:shadow w:val="0"/>
          <w:sz w:val="22"/>
          <w:szCs w:val="22"/>
          <w:lang w:eastAsia="es-ES" w:bidi="ar-SA"/>
        </w:rPr>
      </w:pPr>
      <w:r>
        <w:rPr>
          <w:rStyle w:val="DefaultParagraphFont"/>
          <w:rFonts w:ascii="Arial" w:eastAsia="Times New Roman" w:hAnsi="Arial" w:cs="Arial"/>
          <w:b/>
          <w:bCs/>
          <w:shadow w:val="0"/>
          <w:sz w:val="22"/>
          <w:szCs w:val="22"/>
          <w:lang w:eastAsia="es-ES" w:bidi="ar-SA"/>
        </w:rPr>
        <w:t>Prp. 2026/2261</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L’Àrea de Comunicació i Noves Tecnologies emet informe-proposta de contractació en el qual justifica la necessitat de contractar el servei integral de telecomunicacions, telefonia IP, electrònica de xarxa i fibra municipal de l’Ajuntament de l’Escala, amb la finalitat de garantir la continuïtat i evolució dels serveis municipals de dades i veu, renovar i gestionar l’electrònica de xarxa, unificar l’operació de la telefonia IP i desplegar i certificar la infraestructura de fibra municipal necessària per donar servei als diferents equipaments i dependències municipals.</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De conformitat amb l'article 116.1 de la Llei 9/2017, de 8 de novembre, de Contractes del Sector Públic, per la qual es transposen a l'ordenament jurídic espanyol les Directives del Parlament Europeu i del Consell 2014/23/UE i 2014/24/UE (en endavant, LCSP), la celebració de contractes per part de les administracions públiques requerirà la prèvia tramitació del corresponent expedient, que s'iniciarà per l'òrgan de contractació motivant la necessitat del contracte en els termes previstos a l'article 28 de la mateixa Llei.</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D'acord amb la disposició addicional tercera de la LCSP, consta a l'expedient la Memòria justificativa i estudi econòmic, el Plec de Clàusules Administratives Particulars, el Plec de Prescripcions Tècniques Particulars, l'informe de Secretaria i l'informe de fiscalització prèvia de la Intervenció.</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Aquesta contractació té caràcter administratiu i es tipifica com a contracte mixt, amb prestació principal de serveis, d'acord amb l'article 18 de la LCSP. El valor estimat del contracte és de 245.079,30 €, IVA exclòs, i es troba subjecte a regulació harmonitzada, de conformitat amb l'article 22 de la LCSP.</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 xml:space="preserve">El contracte no es divideix en lots. La no divisió es justifica perquè les diferents prestacions constitueixen una solució funcional integrada i la seva execució per diferents adjudicataris faria dependre la disponibilitat extrem a extrem de diversos responsables, generaria interfícies entre l’operador de telecomunicacions, la configuració de VLAN i </w:t>
      </w:r>
      <w:r>
        <w:rPr>
          <w:rStyle w:val="DefaultParagraphFont"/>
          <w:rFonts w:ascii="Arial" w:eastAsia="Times New Roman" w:hAnsi="Arial" w:cs="Arial"/>
          <w:shadow w:val="0"/>
          <w:sz w:val="22"/>
          <w:szCs w:val="22"/>
          <w:lang w:eastAsia="es-ES" w:bidi="ar-SA"/>
        </w:rPr>
        <w:t>QoS</w:t>
      </w:r>
      <w:r>
        <w:rPr>
          <w:rStyle w:val="DefaultParagraphFont"/>
          <w:rFonts w:ascii="Arial" w:eastAsia="Times New Roman" w:hAnsi="Arial" w:cs="Arial"/>
          <w:shadow w:val="0"/>
          <w:sz w:val="22"/>
          <w:szCs w:val="22"/>
          <w:lang w:eastAsia="es-ES" w:bidi="ar-SA"/>
        </w:rPr>
        <w:t>, l’electrònica de xarxa, la centraleta, la portabilitat i la infraestructura de fibra, i dificultaria l’atribució de responsabilitats davant incidències i el compliment dels nivells de servei exigits.</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El pressupost base de licitació corresponent als quaranta-vuit (48) mesos de durada del contracte és de 247.121,63 € IVA inclòs, dels quals 204.232,75 € corresponen a la base imposable i 42.888,88 € al 21% d'IVA. La durada del contracte serà de quaranta-vuit (48) mesos, sense possibilitat de pròrroga, amb inici operatiu previst l’1 de gener de 2027 o en la data que resulti de la formalització si la tramitació obliga a ajustar-la.</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El procediment d'adjudicació serà obert, amb tramitació ordinària i subjecte a regulació harmonitzada, de conformitat amb els articles 131 i 156 i següents de la LCSP.</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L'adopció d'aquest acord és competència de la Junta de Govern Local, d'acord amb la disposició addicional segona de la LCSP i el règim de delegacions vigent de l’Ajuntament de l’Escala.</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D'acord amb l'exposat, es proposa l'adopció dels següents acords:</w:t>
      </w: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PRIMER. Aprovar l'expedient administratiu de contractació del servei integral de telecomunicacions, telefonia IP, electrònica de xarxa i fibra municipal de l’Ajuntament de l’Escala, mitjançant procediment obert, tramitació ordinària i subjecte a regulació harmonitzada, amb un pressupost base de licitació de 247.121,63 € IVA inclòs, dels quals 204.232,75 € corresponen a la base imposable i 42.888,88 € al 21% d'IVA, i una durada de quaranta-vuit (48) mesos, sense possibilitat de pròrroga.</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SEGON. Aprovar el Plec de Clàusules Administratives Particulars i el Plec de Prescripcions Tècniques Particulars que han de regir aquesta contractació.</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TERCER. Aprovar l'autorització de la despesa per un import màxim de 247.121,63 € IVA inclòs, dels quals 204.232,75 € corresponen a la base imposable i 42.888,88 € al 21% d'IVA, amb càrrec a l’aplicació pressupostaria, d’acord amb la distribució plurianual següent:</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p>
    <w:tbl>
      <w:tblPr>
        <w:tblStyle w:val="TableGrid0"/>
        <w:tblW w:w="9486" w:type="dxa"/>
        <w:tblInd w:w="-176" w:type="dxa"/>
        <w:tblLook w:val="04A0"/>
      </w:tblPr>
      <w:tblGrid>
        <w:gridCol w:w="706"/>
        <w:gridCol w:w="644"/>
        <w:gridCol w:w="742"/>
        <w:gridCol w:w="828"/>
        <w:gridCol w:w="464"/>
        <w:gridCol w:w="22"/>
        <w:gridCol w:w="2081"/>
        <w:gridCol w:w="30"/>
        <w:gridCol w:w="1410"/>
        <w:gridCol w:w="22"/>
        <w:gridCol w:w="1295"/>
        <w:gridCol w:w="22"/>
        <w:gridCol w:w="1417"/>
        <w:gridCol w:w="9"/>
      </w:tblGrid>
      <w:tr>
        <w:tblPrEx>
          <w:tblW w:w="9486" w:type="dxa"/>
          <w:tblInd w:w="-176" w:type="dxa"/>
          <w:tblLook w:val="04A0"/>
        </w:tblPrEx>
        <w:trPr>
          <w:gridAfter w:val="1"/>
          <w:wAfter w:w="22" w:type="dxa"/>
        </w:trPr>
        <w:tc>
          <w:tcPr>
            <w:tcW w:w="113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Any</w:t>
            </w:r>
          </w:p>
        </w:tc>
        <w:tc>
          <w:tcPr>
            <w:tcW w:w="4134" w:type="dxa"/>
            <w:gridSpan w:val="6"/>
            <w:tcBorders>
              <w:top w:val="single" w:sz="4" w:space="0" w:color="auto"/>
              <w:left w:val="single" w:sz="4" w:space="0" w:color="auto"/>
              <w:bottom w:val="single" w:sz="4" w:space="0" w:color="auto"/>
              <w:right w:val="single" w:sz="4" w:space="0" w:color="auto"/>
            </w:tcBorders>
            <w:shd w:val="clear" w:color="auto" w:fill="F2F2F2"/>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Aplicació pressupostària</w:t>
            </w:r>
          </w:p>
        </w:tc>
        <w:tc>
          <w:tcPr>
            <w:tcW w:w="1439"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Import</w:t>
            </w:r>
          </w:p>
        </w:tc>
        <w:tc>
          <w:tcPr>
            <w:tcW w:w="131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IVA (21%)</w:t>
            </w:r>
          </w:p>
        </w:tc>
        <w:tc>
          <w:tcPr>
            <w:tcW w:w="1439"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Import total</w:t>
            </w:r>
          </w:p>
        </w:tc>
      </w:tr>
      <w:tr>
        <w:tblPrEx>
          <w:tblW w:w="9486" w:type="dxa"/>
          <w:tblInd w:w="-176" w:type="dxa"/>
          <w:tblLook w:val="04A0"/>
        </w:tblPrEx>
        <w:tc>
          <w:tcPr>
            <w:tcW w:w="0" w:type="auto"/>
            <w:vMerge/>
            <w:tcBorders>
              <w:top w:val="single" w:sz="4" w:space="0" w:color="auto"/>
              <w:left w:val="single" w:sz="4" w:space="0" w:color="auto"/>
              <w:bottom w:val="single" w:sz="4" w:space="0" w:color="auto"/>
              <w:right w:val="single" w:sz="4" w:space="0" w:color="auto"/>
            </w:tcBorders>
            <w:vAlign w:val="center"/>
            <w:hideMark/>
          </w:tcPr>
          <w:p w:rsidR="003418F3">
            <w:pPr>
              <w:pStyle w:val="Normal0"/>
              <w:rPr>
                <w:rStyle w:val="DefaultParagraphFont"/>
                <w:rFonts w:ascii="Arial" w:eastAsia="Times New Roman" w:hAnsi="Arial" w:cs="Arial"/>
                <w:shadow w:val="0"/>
                <w:sz w:val="22"/>
                <w:szCs w:val="22"/>
                <w:lang w:eastAsia="es-ES" w:bidi="ar-SA"/>
              </w:rPr>
            </w:pPr>
          </w:p>
        </w:tc>
        <w:tc>
          <w:tcPr>
            <w:tcW w:w="23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Org</w:t>
            </w:r>
            <w:r>
              <w:rPr>
                <w:rStyle w:val="DefaultParagraphFont"/>
                <w:rFonts w:ascii="Arial" w:eastAsia="Times New Roman" w:hAnsi="Arial" w:cs="Arial"/>
                <w:shadow w:val="0"/>
                <w:sz w:val="22"/>
                <w:szCs w:val="22"/>
                <w:lang w:eastAsia="es-ES" w:bidi="ar-SA"/>
              </w:rPr>
              <w:t>.</w:t>
            </w:r>
          </w:p>
        </w:tc>
        <w:tc>
          <w:tcPr>
            <w:tcW w:w="74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Prog</w:t>
            </w:r>
            <w:r>
              <w:rPr>
                <w:rStyle w:val="DefaultParagraphFont"/>
                <w:rFonts w:ascii="Arial" w:eastAsia="Times New Roman" w:hAnsi="Arial" w:cs="Arial"/>
                <w:shadow w:val="0"/>
                <w:sz w:val="22"/>
                <w:szCs w:val="22"/>
                <w:lang w:eastAsia="es-ES" w:bidi="ar-SA"/>
              </w:rPr>
              <w:t>.</w:t>
            </w:r>
          </w:p>
        </w:tc>
        <w:tc>
          <w:tcPr>
            <w:tcW w:w="827"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Econ.</w:t>
            </w:r>
          </w:p>
        </w:tc>
        <w:tc>
          <w:tcPr>
            <w:tcW w:w="486" w:type="dxa"/>
            <w:gridSpan w:val="2"/>
            <w:tcBorders>
              <w:top w:val="single" w:sz="4" w:space="0" w:color="auto"/>
              <w:left w:val="single" w:sz="4" w:space="0" w:color="auto"/>
              <w:bottom w:val="single" w:sz="4" w:space="0" w:color="auto"/>
              <w:right w:val="single" w:sz="4" w:space="0" w:color="auto"/>
            </w:tcBorders>
            <w:shd w:val="clear" w:color="auto" w:fill="F2F2F2"/>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Sp</w:t>
            </w:r>
          </w:p>
        </w:tc>
        <w:tc>
          <w:tcPr>
            <w:tcW w:w="1865"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Descripció</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3418F3">
            <w:pPr>
              <w:pStyle w:val="Normal0"/>
              <w:rPr>
                <w:rStyle w:val="DefaultParagraphFont"/>
                <w:rFonts w:ascii="Arial" w:eastAsia="Times New Roman" w:hAnsi="Arial" w:cs="Arial"/>
                <w:shadow w:val="0"/>
                <w:sz w:val="22"/>
                <w:szCs w:val="22"/>
                <w:lang w:eastAsia="es-ES" w:bidi="ar-SA"/>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3418F3">
            <w:pPr>
              <w:pStyle w:val="Normal0"/>
              <w:rPr>
                <w:rStyle w:val="DefaultParagraphFont"/>
                <w:rFonts w:ascii="Times New Roman" w:eastAsia="Times New Roman" w:hAnsi="Times New Roman" w:cs="Times New Roman"/>
                <w:shadow w:val="0"/>
                <w:lang w:val="es-ES" w:eastAsia="es-ES" w:bidi="ar-SA"/>
              </w:rPr>
            </w:pP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3418F3">
            <w:pPr>
              <w:pStyle w:val="Normal0"/>
              <w:rPr>
                <w:rStyle w:val="DefaultParagraphFont"/>
                <w:rFonts w:ascii="Times New Roman" w:eastAsia="Times New Roman" w:hAnsi="Times New Roman" w:cs="Times New Roman"/>
                <w:shadow w:val="0"/>
                <w:lang w:val="es-ES" w:eastAsia="es-ES" w:bidi="ar-SA"/>
              </w:rPr>
            </w:pPr>
          </w:p>
        </w:tc>
      </w:tr>
      <w:tr>
        <w:tblPrEx>
          <w:tblW w:w="9486" w:type="dxa"/>
          <w:tblInd w:w="-176" w:type="dxa"/>
          <w:tblLook w:val="04A0"/>
        </w:tblPrEx>
        <w:tc>
          <w:tcPr>
            <w:tcW w:w="1135"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bookmarkStart w:id="4" w:name="_Hlk160108469_0"/>
            <w:r>
              <w:rPr>
                <w:rStyle w:val="DefaultParagraphFont"/>
                <w:rFonts w:ascii="Arial" w:eastAsia="Times New Roman" w:hAnsi="Arial" w:cs="Arial"/>
                <w:shadow w:val="0"/>
                <w:sz w:val="22"/>
                <w:szCs w:val="22"/>
                <w:lang w:eastAsia="es-ES" w:bidi="ar-SA"/>
              </w:rPr>
              <w:t>2027</w:t>
            </w:r>
          </w:p>
        </w:tc>
        <w:tc>
          <w:tcPr>
            <w:tcW w:w="236"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742"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920</w:t>
            </w:r>
          </w:p>
        </w:tc>
        <w:tc>
          <w:tcPr>
            <w:tcW w:w="827"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22200</w:t>
            </w:r>
          </w:p>
        </w:tc>
        <w:tc>
          <w:tcPr>
            <w:tcW w:w="486"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1865"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COMUNICACIONS TELEFÒNIQUES INTERNET</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69.774,19 €</w:t>
            </w:r>
          </w:p>
        </w:tc>
        <w:tc>
          <w:tcPr>
            <w:tcW w:w="1317"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14.652,58 €</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84.426,77 €</w:t>
            </w:r>
          </w:p>
        </w:tc>
      </w:tr>
      <w:tr>
        <w:tblPrEx>
          <w:tblW w:w="9486" w:type="dxa"/>
          <w:tblInd w:w="-176" w:type="dxa"/>
          <w:tblLook w:val="04A0"/>
        </w:tblPrEx>
        <w:tc>
          <w:tcPr>
            <w:tcW w:w="1135"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bookmarkEnd w:id="4"/>
            <w:r>
              <w:rPr>
                <w:rStyle w:val="DefaultParagraphFont"/>
                <w:rFonts w:ascii="Arial" w:eastAsia="Times New Roman" w:hAnsi="Arial" w:cs="Arial"/>
                <w:shadow w:val="0"/>
                <w:sz w:val="22"/>
                <w:szCs w:val="22"/>
                <w:lang w:eastAsia="es-ES" w:bidi="ar-SA"/>
              </w:rPr>
              <w:t>2028</w:t>
            </w:r>
          </w:p>
        </w:tc>
        <w:tc>
          <w:tcPr>
            <w:tcW w:w="236"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742"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920</w:t>
            </w:r>
          </w:p>
        </w:tc>
        <w:tc>
          <w:tcPr>
            <w:tcW w:w="827"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22200</w:t>
            </w:r>
          </w:p>
        </w:tc>
        <w:tc>
          <w:tcPr>
            <w:tcW w:w="486"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1865"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COMUNICACIONS TELEFÒNIQUES INTERNET</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44.819,52€</w:t>
            </w:r>
          </w:p>
        </w:tc>
        <w:tc>
          <w:tcPr>
            <w:tcW w:w="1317"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9.412,10€</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54.231,62€</w:t>
            </w:r>
          </w:p>
        </w:tc>
      </w:tr>
      <w:tr>
        <w:tblPrEx>
          <w:tblW w:w="9486" w:type="dxa"/>
          <w:tblInd w:w="-176" w:type="dxa"/>
          <w:tblLook w:val="04A0"/>
        </w:tblPrEx>
        <w:tc>
          <w:tcPr>
            <w:tcW w:w="1135"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2029</w:t>
            </w:r>
          </w:p>
        </w:tc>
        <w:tc>
          <w:tcPr>
            <w:tcW w:w="236"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742"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920</w:t>
            </w:r>
          </w:p>
        </w:tc>
        <w:tc>
          <w:tcPr>
            <w:tcW w:w="827"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22200</w:t>
            </w:r>
          </w:p>
        </w:tc>
        <w:tc>
          <w:tcPr>
            <w:tcW w:w="486"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1865"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COMUNICACIONS TELEFÒNIQUES INTERNET</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44.819,52€</w:t>
            </w:r>
          </w:p>
        </w:tc>
        <w:tc>
          <w:tcPr>
            <w:tcW w:w="1317"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9.412,10€</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54.231,62€</w:t>
            </w:r>
          </w:p>
        </w:tc>
      </w:tr>
      <w:tr>
        <w:tblPrEx>
          <w:tblW w:w="9486" w:type="dxa"/>
          <w:tblInd w:w="-176" w:type="dxa"/>
          <w:tblLook w:val="04A0"/>
        </w:tblPrEx>
        <w:tc>
          <w:tcPr>
            <w:tcW w:w="1135"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2030</w:t>
            </w:r>
          </w:p>
        </w:tc>
        <w:tc>
          <w:tcPr>
            <w:tcW w:w="236"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742"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920</w:t>
            </w:r>
          </w:p>
        </w:tc>
        <w:tc>
          <w:tcPr>
            <w:tcW w:w="827" w:type="dxa"/>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22200</w:t>
            </w:r>
          </w:p>
        </w:tc>
        <w:tc>
          <w:tcPr>
            <w:tcW w:w="486"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01</w:t>
            </w:r>
          </w:p>
        </w:tc>
        <w:tc>
          <w:tcPr>
            <w:tcW w:w="1865"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COMUNICACIONS TELEFÒNIQUES INTERNET</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44.819,52€</w:t>
            </w:r>
          </w:p>
        </w:tc>
        <w:tc>
          <w:tcPr>
            <w:tcW w:w="1317"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9.412,10€</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54.231,62€</w:t>
            </w:r>
          </w:p>
        </w:tc>
      </w:tr>
      <w:tr>
        <w:tblPrEx>
          <w:tblW w:w="9486" w:type="dxa"/>
          <w:tblInd w:w="-176" w:type="dxa"/>
          <w:tblLook w:val="04A0"/>
        </w:tblPrEx>
        <w:trPr>
          <w:gridAfter w:val="1"/>
          <w:wAfter w:w="22" w:type="dxa"/>
          <w:trHeight w:val="395"/>
        </w:trPr>
        <w:tc>
          <w:tcPr>
            <w:tcW w:w="3404" w:type="dxa"/>
            <w:gridSpan w:val="5"/>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TOTAL</w:t>
            </w:r>
          </w:p>
        </w:tc>
        <w:tc>
          <w:tcPr>
            <w:tcW w:w="1865" w:type="dxa"/>
            <w:gridSpan w:val="2"/>
            <w:tcBorders>
              <w:top w:val="single" w:sz="4" w:space="0" w:color="auto"/>
              <w:left w:val="single" w:sz="4" w:space="0" w:color="auto"/>
              <w:bottom w:val="single" w:sz="4" w:space="0" w:color="auto"/>
              <w:right w:val="single" w:sz="4" w:space="0" w:color="auto"/>
            </w:tcBorders>
            <w:hideMark/>
          </w:tcPr>
          <w:p w:rsidR="003418F3">
            <w:pPr>
              <w:pStyle w:val="Normal0"/>
              <w:rPr>
                <w:rStyle w:val="DefaultParagraphFont"/>
                <w:rFonts w:ascii="Arial" w:eastAsia="Times New Roman" w:hAnsi="Arial" w:cs="Arial"/>
                <w:shadow w:val="0"/>
                <w:sz w:val="22"/>
                <w:szCs w:val="22"/>
                <w:lang w:eastAsia="es-ES" w:bidi="ar-SA"/>
              </w:rPr>
            </w:pP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204.232,75€</w:t>
            </w:r>
          </w:p>
        </w:tc>
        <w:tc>
          <w:tcPr>
            <w:tcW w:w="1317"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42.888,88€</w:t>
            </w:r>
          </w:p>
        </w:tc>
        <w:tc>
          <w:tcPr>
            <w:tcW w:w="1439" w:type="dxa"/>
            <w:gridSpan w:val="2"/>
            <w:tcBorders>
              <w:top w:val="single" w:sz="4" w:space="0" w:color="auto"/>
              <w:left w:val="single" w:sz="4" w:space="0" w:color="auto"/>
              <w:bottom w:val="single" w:sz="4" w:space="0" w:color="auto"/>
              <w:right w:val="single" w:sz="4" w:space="0" w:color="auto"/>
            </w:tcBorders>
            <w:hideMark/>
          </w:tcPr>
          <w:p w:rsidR="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247.121,63€</w:t>
            </w:r>
          </w:p>
        </w:tc>
      </w:tr>
    </w:tbl>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Així mateix, atès el caràcter anticipat i plurianual de la despesa, la seva autorització o realització resta subordinada a l'existència de crèdit adequat i suficient en els pressupostos municipals dels exercicis corresponents.</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QUART. Disposar l'obertura del procediment d'adjudicació del contracte del servei integral de telecomunicacions, telefonia IP, electrònica de xarxa i fibra municipal de l’Ajuntament de l’Escala, mitjançant procediment obert, tramitació ordinària i subjecte a regulació harmonitzada, d'acord amb els articles 131 i 156 i següents de la LCSP.</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CINQUÈ. Convocar la licitació pública mitjançant l'enviament del corresponent anunci a l'Oficina de Publicacions de la Unió Europea per a la seva publicació al Diari Oficial de la Unió Europea (DOUE) i la seva publicació al Perfil del Contractant de l'Ajuntament de l'Escala, allotjat a la Plataforma de Serveis de Contractació Pública de Catalunya, perquè durant el termini legalment establert es puguin presentar les proposicions.</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SISÈ. Publicar els presents acords al Perfil del Contractant de l'Ajuntament de l'Escala, d'acord amb els articles 63, 117, 135 i concordants de la LCSP.</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SETÈ. Traslladar aquest acord a l'Àrea de Serveis Econòmics i a l'Àrea de Serveis Informàtics, als efectes oportuns.</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L'Escala, a data de la signatura electrònica.</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jc w:val="both"/>
        <w:rPr>
          <w:rStyle w:val="DefaultParagraphFont"/>
          <w:rFonts w:ascii="Arial" w:eastAsia="Times New Roman" w:hAnsi="Arial" w:cs="Arial"/>
          <w:shadow w:val="0"/>
          <w:sz w:val="22"/>
          <w:szCs w:val="22"/>
          <w:lang w:eastAsia="es-ES" w:bidi="ar-SA"/>
        </w:rPr>
      </w:pPr>
      <w:r>
        <w:rPr>
          <w:rStyle w:val="DefaultParagraphFont"/>
          <w:rFonts w:ascii="Arial" w:eastAsia="Times New Roman" w:hAnsi="Arial" w:cs="Arial"/>
          <w:shadow w:val="0"/>
          <w:sz w:val="22"/>
          <w:szCs w:val="22"/>
          <w:lang w:eastAsia="es-ES" w:bidi="ar-SA"/>
        </w:rPr>
        <w:t>La Regidora de Comunicació i Noves tecnologies</w:t>
      </w:r>
    </w:p>
    <w:p w:rsidR="003418F3" w:rsidP="003418F3">
      <w:pPr>
        <w:pStyle w:val="Normal0"/>
        <w:jc w:val="both"/>
        <w:rPr>
          <w:rStyle w:val="DefaultParagraphFont"/>
          <w:rFonts w:ascii="Arial" w:eastAsia="Times New Roman" w:hAnsi="Arial" w:cs="Arial"/>
          <w:shadow w:val="0"/>
          <w:sz w:val="22"/>
          <w:szCs w:val="22"/>
          <w:lang w:eastAsia="es-ES" w:bidi="ar-SA"/>
        </w:rPr>
      </w:pPr>
    </w:p>
    <w:p w:rsidR="003418F3" w:rsidP="003418F3">
      <w:pPr>
        <w:pStyle w:val="Normal0"/>
        <w:rPr>
          <w:rStyle w:val="DefaultParagraphFont"/>
          <w:rFonts w:eastAsia="Times New Roman" w:cs="Times New Roman"/>
          <w:lang w:eastAsia="es-ES" w:bidi="ar-SA"/>
        </w:rPr>
      </w:pPr>
      <w:bookmarkEnd w:id="1"/>
      <w:bookmarkEnd w:id="2"/>
      <w:r>
        <w:rPr>
          <w:rStyle w:val="DefaultParagraphFont"/>
          <w:rFonts w:ascii="Arial" w:eastAsia="Times New Roman" w:hAnsi="Arial" w:cs="Arial"/>
          <w:shadow w:val="0"/>
          <w:sz w:val="22"/>
          <w:szCs w:val="22"/>
          <w:lang w:eastAsia="es-ES" w:bidi="ar-SA"/>
        </w:rPr>
        <w:t>Clàudia de Cruz Blanch</w:t>
      </w:r>
    </w:p>
    <w:p w:rsidR="00C6444A" w:rsidRPr="003418F3" w:rsidP="003418F3">
      <w:pPr>
        <w:pStyle w:val="Normal0"/>
        <w:rPr>
          <w:rStyle w:val="DefaultParagraphFont"/>
          <w:rFonts w:eastAsia="Times New Roman" w:cs="Times New Roman"/>
          <w:lang w:eastAsia="es-ES" w:bidi="ar-SA"/>
        </w:rPr>
      </w:pPr>
      <w:bookmarkEnd w:id="3"/>
    </w:p>
    <w:p w:rsidR="00076437" w:rsidP="001D4E39">
      <w:pPr>
        <w:rPr>
          <w:rFonts w:ascii="Arial" w:hAnsi="Arial" w:cs="Arial"/>
          <w:sz w:val="22"/>
          <w:szCs w:val="22"/>
          <w:lang w:val="ca-ES"/>
        </w:rPr>
      </w:pPr>
    </w:p>
    <w:p w:rsidR="00076437" w:rsidP="001D4E39">
      <w:pPr>
        <w:rPr>
          <w:rFonts w:ascii="Arial" w:hAnsi="Arial" w:cs="Arial"/>
          <w:sz w:val="22"/>
          <w:szCs w:val="22"/>
          <w:lang w:val="ca-ES"/>
        </w:rPr>
      </w:pPr>
      <w:bookmarkEnd w:id="0"/>
    </w:p>
    <w:p w:rsidR="00076437" w:rsidP="004C2BDD">
      <w:pPr>
        <w:ind w:left="567"/>
        <w:rPr>
          <w:rFonts w:ascii="Arial" w:hAnsi="Arial" w:cs="Arial"/>
          <w:sz w:val="22"/>
          <w:szCs w:val="22"/>
          <w:lang w:val="ca-ES"/>
        </w:rPr>
      </w:pPr>
    </w:p>
    <w:p w:rsidR="00076437" w:rsidRPr="000C3CC0" w:rsidP="004C2BDD">
      <w:pPr>
        <w:ind w:left="567"/>
        <w:rPr>
          <w:rFonts w:ascii="Arial" w:hAnsi="Arial" w:cs="Arial"/>
          <w:sz w:val="22"/>
          <w:szCs w:val="22"/>
          <w:lang w:val="ca-ES"/>
        </w:rPr>
      </w:pPr>
    </w:p>
    <w:sectPr w:rsidSect="000C3CC0">
      <w:headerReference w:type="even" r:id="rId4"/>
      <w:headerReference w:type="default" r:id="rId5"/>
      <w:footerReference w:type="even" r:id="rId6"/>
      <w:footerReference w:type="default" r:id="rId7"/>
      <w:headerReference w:type="first" r:id="rId8"/>
      <w:footerReference w:type="first" r:id="rId9"/>
      <w:pgSz w:w="11906" w:h="16838" w:code="9"/>
      <w:pgMar w:top="1979" w:right="1418" w:bottom="1701" w:left="1418" w:header="36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37" w:rsidRPr="000C3CC0" w:rsidP="000C3CC0">
    <w:pPr>
      <w:pStyle w:val="Footer"/>
      <w:ind w:left="-180" w:right="-290"/>
      <w:jc w:val="center"/>
      <w:rPr>
        <w:rFonts w:ascii="Arial" w:hAnsi="Arial" w:cs="Arial"/>
        <w:sz w:val="14"/>
        <w:szCs w:val="14"/>
        <w:lang w:val="ca-ES"/>
      </w:rPr>
    </w:pPr>
    <w:r w:rsidRPr="000C3CC0">
      <w:rPr>
        <w:rFonts w:ascii="Arial" w:hAnsi="Arial" w:cs="Arial"/>
        <w:sz w:val="14"/>
        <w:szCs w:val="14"/>
        <w:lang w:val="ca-ES"/>
      </w:rPr>
      <w:t>Pintor Massanet, 34- 17130  l’Escala (Girona) – Tel. (+34) 972 774848 – Fax (+34) 972 774284 –www.lescala.cat  Nif P1706800H</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37" w:rsidRPr="0075065E" w:rsidP="0075065E">
    <w:pPr>
      <w:pStyle w:val="Footer"/>
      <w:rPr>
        <w:rFonts w:ascii="Arial" w:hAnsi="Arial" w:cs="Arial"/>
        <w:sz w:val="16"/>
        <w:szCs w:val="16"/>
      </w:rPr>
    </w:pPr>
    <w:r w:rsidRPr="0075065E">
      <w:rPr>
        <w:rFonts w:ascii="Arial" w:hAnsi="Arial" w:cs="Arial"/>
        <w:sz w:val="16"/>
        <w:szCs w:val="16"/>
      </w:rPr>
      <w:t>Pintor Massanet, 34</w:t>
    </w:r>
    <w:r>
      <w:rPr>
        <w:rFonts w:ascii="Arial" w:hAnsi="Arial" w:cs="Arial"/>
        <w:sz w:val="16"/>
        <w:szCs w:val="16"/>
      </w:rPr>
      <w:t xml:space="preserve"> – 17130 l’Escala (Girona) – Tel (+34)972 774848 – Fax (+34)972 774284  - www.lescala.cat</w:t>
    </w:r>
  </w:p>
  <w:p w:rsidR="0007643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37" w:rsidRPr="000C3CC0" w:rsidP="000C3CC0">
    <w:pPr>
      <w:pStyle w:val="Header"/>
      <w:ind w:left="1260"/>
      <w:rPr>
        <w:rFonts w:ascii="Arial" w:hAnsi="Arial" w:cs="Arial"/>
        <w:b/>
        <w:sz w:val="56"/>
        <w:szCs w:val="5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height:63pt;margin-left:0;margin-top:-0.05pt;position:absolute;width:43.5pt;z-index:251658240">
          <v:imagedata r:id="rId1" o:title=""/>
        </v:shape>
      </w:pict>
    </w:r>
    <w:r w:rsidRPr="000C3CC0">
      <w:rPr>
        <w:rFonts w:ascii="Arial" w:hAnsi="Arial" w:cs="Arial"/>
        <w:sz w:val="56"/>
        <w:szCs w:val="56"/>
      </w:rPr>
      <w:t xml:space="preserve">Ajuntament de </w:t>
    </w:r>
    <w:r w:rsidRPr="000C3CC0">
      <w:rPr>
        <w:rFonts w:ascii="Arial" w:hAnsi="Arial" w:cs="Arial"/>
        <w:b/>
        <w:sz w:val="56"/>
        <w:szCs w:val="56"/>
      </w:rPr>
      <w:t>l’Escala</w:t>
    </w:r>
  </w:p>
  <w:p w:rsidR="00076437" w:rsidRPr="000C3CC0" w:rsidP="000C3CC0">
    <w:pPr>
      <w:pStyle w:val="Header"/>
      <w:ind w:left="1260"/>
      <w:rPr>
        <w:i/>
        <w:sz w:val="22"/>
        <w:szCs w:val="22"/>
      </w:rPr>
    </w:pPr>
    <w:r>
      <w:rPr>
        <w:i/>
        <w:sz w:val="22"/>
        <w:szCs w:val="22"/>
      </w:rPr>
      <w:t>v</w:t>
    </w:r>
    <w:r w:rsidRPr="000C3CC0">
      <w:rPr>
        <w:i/>
        <w:sz w:val="22"/>
        <w:szCs w:val="22"/>
      </w:rPr>
      <w:t>ila marinera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4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C3516BA"/>
    <w:multiLevelType w:val="hybridMultilevel"/>
    <w:tmpl w:val="A774B844"/>
    <w:lvl w:ilvl="0">
      <w:start w:val="10"/>
      <w:numFmt w:val="bullet"/>
      <w:lvlText w:val="-"/>
      <w:lvlJc w:val="left"/>
      <w:pPr>
        <w:ind w:left="1068" w:hanging="360"/>
      </w:pPr>
      <w:rPr>
        <w:rFonts w:ascii="Arial" w:eastAsia="Times New Roman" w:hAnsi="Arial" w:hint="default"/>
      </w:rPr>
    </w:lvl>
    <w:lvl w:ilvl="1" w:tentative="1">
      <w:start w:val="1"/>
      <w:numFmt w:val="bullet"/>
      <w:lvlText w:val="o"/>
      <w:lvlJc w:val="left"/>
      <w:pPr>
        <w:ind w:left="1788" w:hanging="360"/>
      </w:pPr>
      <w:rPr>
        <w:rFonts w:ascii="Courier New" w:hAnsi="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hint="default"/>
      </w:rPr>
    </w:lvl>
    <w:lvl w:ilvl="8"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evenAndOddHeaders/>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s-E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4F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EncabezadoCar"/>
    <w:uiPriority w:val="99"/>
    <w:rsid w:val="00CC5DFA"/>
    <w:pPr>
      <w:tabs>
        <w:tab w:val="center" w:pos="4252"/>
        <w:tab w:val="right" w:pos="8504"/>
      </w:tabs>
    </w:pPr>
  </w:style>
  <w:style w:type="character" w:customStyle="1" w:styleId="EncabezadoCar">
    <w:name w:val="Encabezado Car"/>
    <w:basedOn w:val="DefaultParagraphFont"/>
    <w:link w:val="Header"/>
    <w:uiPriority w:val="99"/>
    <w:semiHidden/>
    <w:locked/>
    <w:rsid w:val="00963D0E"/>
    <w:rPr>
      <w:rFonts w:cs="Times New Roman"/>
      <w:sz w:val="24"/>
      <w:szCs w:val="24"/>
    </w:rPr>
  </w:style>
  <w:style w:type="paragraph" w:styleId="Footer">
    <w:name w:val="footer"/>
    <w:basedOn w:val="Normal"/>
    <w:link w:val="PiedepginaCar"/>
    <w:uiPriority w:val="99"/>
    <w:rsid w:val="00CC5DFA"/>
    <w:pPr>
      <w:tabs>
        <w:tab w:val="center" w:pos="4252"/>
        <w:tab w:val="right" w:pos="8504"/>
      </w:tabs>
    </w:pPr>
  </w:style>
  <w:style w:type="character" w:customStyle="1" w:styleId="PiedepginaCar">
    <w:name w:val="Pie de página Car"/>
    <w:basedOn w:val="DefaultParagraphFont"/>
    <w:link w:val="Footer"/>
    <w:uiPriority w:val="99"/>
    <w:semiHidden/>
    <w:locked/>
    <w:rsid w:val="00963D0E"/>
    <w:rPr>
      <w:rFonts w:cs="Times New Roman"/>
      <w:sz w:val="24"/>
      <w:szCs w:val="24"/>
    </w:rPr>
  </w:style>
  <w:style w:type="paragraph" w:styleId="BodyText">
    <w:name w:val="Body Text"/>
    <w:basedOn w:val="Normal"/>
    <w:link w:val="TextoindependienteCar"/>
    <w:uiPriority w:val="99"/>
    <w:rsid w:val="002963F7"/>
    <w:pPr>
      <w:suppressAutoHyphens/>
      <w:jc w:val="both"/>
    </w:pPr>
    <w:rPr>
      <w:szCs w:val="20"/>
      <w:lang w:val="ca-ES"/>
    </w:rPr>
  </w:style>
  <w:style w:type="character" w:customStyle="1" w:styleId="TextoindependienteCar">
    <w:name w:val="Texto independiente Car"/>
    <w:basedOn w:val="DefaultParagraphFont"/>
    <w:link w:val="BodyText"/>
    <w:uiPriority w:val="99"/>
    <w:locked/>
    <w:rsid w:val="002963F7"/>
    <w:rPr>
      <w:rFonts w:cs="Times New Roman"/>
      <w:sz w:val="24"/>
      <w:lang w:val="ca-ES"/>
    </w:rPr>
  </w:style>
  <w:style w:type="paragraph" w:customStyle="1" w:styleId="Normal0">
    <w:name w:val="Normal_0"/>
    <w:qFormat/>
    <w:rsid w:val="0053517E"/>
    <w:rPr>
      <w:rFonts w:ascii="Tms Rmn" w:hAnsi="Tms Rmn"/>
      <w:shadow/>
      <w:sz w:val="20"/>
      <w:szCs w:val="20"/>
      <w:lang w:val="ca-ES"/>
    </w:rPr>
  </w:style>
  <w:style w:type="table" w:customStyle="1" w:styleId="TableGrid0">
    <w:name w:val="Table Grid_0"/>
    <w:basedOn w:val="TableNormal"/>
    <w:rsid w:val="003418F3"/>
    <w:rPr>
      <w:rFonts w:ascii="Tms Rmn" w:hAnsi="Tms Rmn"/>
      <w:sz w:val="20"/>
      <w:szCs w:val="20"/>
      <w:lang w:val="ca-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Words>
  <Characters>219</Characters>
  <Application>Microsoft Office Word</Application>
  <DocSecurity>0</DocSecurity>
  <Lines>1</Lines>
  <Paragraphs>1</Paragraphs>
  <ScaleCrop>false</ScaleCrop>
  <Company>PC NEW &amp; Services</Company>
  <LinksUpToDate>false</LinksUpToDate>
  <CharactersWithSpaces>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dc:title>
  <dc:creator>enrica</dc:creator>
  <cp:lastModifiedBy>Montse Balateu</cp:lastModifiedBy>
  <cp:revision>9</cp:revision>
  <cp:lastPrinted>2011-03-21T09:17:00Z</cp:lastPrinted>
  <dcterms:created xsi:type="dcterms:W3CDTF">2014-10-20T13:00:00Z</dcterms:created>
  <dcterms:modified xsi:type="dcterms:W3CDTF">2023-07-11T13:18:00Z</dcterms:modified>
</cp:coreProperties>
</file>