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76" w:before="57" w:after="57"/>
        <w:jc w:val="both"/>
        <w:rPr>
          <w:rFonts w:ascii="Arial" w:hAnsi="Arial"/>
          <w:b/>
          <w:bCs/>
          <w:color w:val="000000"/>
          <w:sz w:val="22"/>
          <w:szCs w:val="22"/>
          <w:shd w:fill="auto" w:val="clear"/>
          <w:lang w:val="ca-ES"/>
        </w:rPr>
      </w:pPr>
      <w:r>
        <w:rPr>
          <w:rFonts w:cs="Arial" w:ascii="Arial" w:hAnsi="Arial"/>
          <w:b/>
          <w:bCs/>
          <w:i w:val="false"/>
          <w:iCs w:val="false"/>
          <w:color w:val="auto"/>
          <w:sz w:val="22"/>
          <w:szCs w:val="22"/>
          <w:u w:val="single"/>
          <w:shd w:fill="auto" w:val="clear"/>
          <w:lang w:val="ca-ES" w:eastAsia="zh-CN" w:bidi="hi-IN"/>
        </w:rPr>
        <w:t>P</w:t>
      </w:r>
      <w:r>
        <w:rPr>
          <w:rFonts w:cs="Arial" w:ascii="Arial" w:hAnsi="Arial"/>
          <w:b/>
          <w:bCs/>
          <w:i w:val="false"/>
          <w:iCs w:val="false"/>
          <w:color w:val="auto"/>
          <w:sz w:val="22"/>
          <w:szCs w:val="22"/>
          <w:u w:val="single"/>
          <w:shd w:fill="auto" w:val="clear"/>
          <w:lang w:val="ca-ES" w:eastAsia="zh-CN" w:bidi="hi-IN"/>
        </w:rPr>
        <w:t>roposta econòmica i documentació tècnica avaluable de forma automàtica</w:t>
      </w:r>
    </w:p>
    <w:p>
      <w:pPr>
        <w:pStyle w:val="BodyText"/>
        <w:bidi w:val="0"/>
        <w:spacing w:lineRule="auto" w:line="276" w:before="0" w:after="0"/>
        <w:jc w:val="both"/>
        <w:rPr>
          <w:rFonts w:ascii="Arial" w:hAnsi="Arial" w:cs="Arial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</w:r>
    </w:p>
    <w:p>
      <w:pPr>
        <w:pStyle w:val="BodyText"/>
        <w:bidi w:val="0"/>
        <w:spacing w:lineRule="auto" w:line="276" w:before="0" w:after="0"/>
        <w:jc w:val="both"/>
        <w:rPr>
          <w:rFonts w:ascii="Arial" w:hAnsi="Arial" w:cs="Arial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  <w:t>L’encapçalament d’aquesta documentació serà el següent:</w:t>
      </w:r>
    </w:p>
    <w:p>
      <w:pPr>
        <w:pStyle w:val="BodyText"/>
        <w:bidi w:val="0"/>
        <w:spacing w:lineRule="auto" w:line="276" w:before="0" w:after="0"/>
        <w:jc w:val="both"/>
        <w:rPr>
          <w:rFonts w:ascii="Arial" w:hAnsi="Arial" w:cs="Arial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</w:pPr>
      <w:r>
        <w:rPr>
          <w:rFonts w:cs="Arial" w:ascii="Arial" w:hAnsi="Arial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auto" w:val="clear"/>
          <w:lang w:val="ca-ES" w:eastAsia="zh-CN" w:bidi="hi-IN"/>
        </w:rPr>
      </w:r>
    </w:p>
    <w:p>
      <w:pPr>
        <w:pStyle w:val="Normal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color w:val="auto"/>
          <w:sz w:val="22"/>
          <w:szCs w:val="22"/>
          <w:lang w:val="ca-ES"/>
        </w:rPr>
      </w:pPr>
      <w:r>
        <w:rPr>
          <w:rFonts w:cs="Arial" w:ascii="Arial" w:hAnsi="Arial"/>
          <w:b/>
          <w:bCs/>
          <w:i/>
          <w:iCs/>
          <w:color w:val="auto"/>
          <w:sz w:val="22"/>
          <w:szCs w:val="22"/>
          <w:u w:val="none"/>
          <w:lang w:val="ca-ES" w:eastAsia="zh-CN" w:bidi="hi-IN"/>
        </w:rPr>
        <w:t>«</w:t>
      </w:r>
      <w:r>
        <w:rPr>
          <w:rFonts w:cs="Arial" w:ascii="Arial" w:hAnsi="Arial"/>
          <w:b/>
          <w:bCs/>
          <w:i/>
          <w:iCs/>
          <w:color w:val="auto"/>
          <w:sz w:val="22"/>
          <w:szCs w:val="22"/>
          <w:lang w:val="ca-ES" w:eastAsia="zh-CN" w:bidi="hi-IN"/>
        </w:rPr>
        <w:t xml:space="preserve">Exp. 20..../.....: Proposició econòmica avaluable de forma automàtica  per participar en el procediment obert per a la contractació del </w:t>
      </w:r>
      <w:r>
        <w:rPr>
          <w:rFonts w:cs="Arial" w:ascii="Arial" w:hAnsi="Arial"/>
          <w:b/>
          <w:bCs/>
          <w:i/>
          <w:iCs/>
          <w:color w:val="auto"/>
          <w:sz w:val="22"/>
          <w:szCs w:val="22"/>
          <w:lang w:val="ca-ES" w:eastAsia="zh-CN" w:bidi="hi-IN"/>
        </w:rPr>
        <w:t>subministrament</w:t>
      </w:r>
      <w:r>
        <w:rPr>
          <w:rFonts w:cs="Arial" w:ascii="Arial" w:hAnsi="Arial"/>
          <w:b/>
          <w:bCs/>
          <w:i/>
          <w:iCs/>
          <w:color w:val="auto"/>
          <w:sz w:val="22"/>
          <w:szCs w:val="22"/>
          <w:lang w:val="ca-ES" w:eastAsia="zh-CN" w:bidi="hi-IN"/>
        </w:rPr>
        <w:t xml:space="preserve"> </w:t>
      </w:r>
      <w:r>
        <w:rPr>
          <w:rFonts w:cs="Arial" w:ascii="Arial" w:hAnsi="Arial"/>
          <w:b/>
          <w:bCs/>
          <w:i/>
          <w:iCs/>
          <w:color w:val="auto"/>
          <w:sz w:val="22"/>
          <w:szCs w:val="22"/>
          <w:u w:val="none"/>
          <w:lang w:val="ca-ES" w:eastAsia="zh-CN" w:bidi="hi-IN"/>
        </w:rPr>
        <w:t>de.....................................</w:t>
      </w:r>
      <w:r>
        <w:rPr>
          <w:rFonts w:cs="Arial" w:ascii="Arial" w:hAnsi="Arial"/>
          <w:b/>
          <w:bCs/>
          <w:i/>
          <w:iCs/>
          <w:color w:val="auto"/>
          <w:sz w:val="22"/>
          <w:szCs w:val="22"/>
          <w:lang w:val="ca-ES" w:eastAsia="zh-CN" w:bidi="hi-IN"/>
        </w:rPr>
        <w:t xml:space="preserve"> presentada per .......……...»</w:t>
      </w:r>
    </w:p>
    <w:p>
      <w:pPr>
        <w:pStyle w:val="Normal"/>
        <w:bidi w:val="0"/>
        <w:spacing w:lineRule="auto" w:line="276" w:before="57" w:after="57"/>
        <w:jc w:val="both"/>
        <w:rPr>
          <w:rFonts w:ascii="Arial" w:hAnsi="Arial" w:eastAsia="Arial" w:cs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 w:eastAsia="zh-CN" w:bidi="hi-IN"/>
        </w:rPr>
      </w:pPr>
      <w:r>
        <w:rPr>
          <w:rFonts w:eastAsia="Arial" w:cs="Arial" w:ascii="Arial" w:hAnsi="Arial"/>
          <w:b w:val="false"/>
          <w:bCs w:val="false"/>
          <w:i/>
          <w:iCs/>
          <w:color w:val="2A6099"/>
          <w:sz w:val="22"/>
          <w:szCs w:val="22"/>
          <w:u w:val="none"/>
          <w:shd w:fill="auto" w:val="clear"/>
          <w:lang w:val="ca-ES" w:eastAsia="zh-CN" w:bidi="hi-IN"/>
        </w:rPr>
      </w:r>
    </w:p>
    <w:p>
      <w:pPr>
        <w:pStyle w:val="BodyText"/>
        <w:bidi w:val="0"/>
        <w:spacing w:lineRule="auto" w:line="276" w:before="0" w:after="140"/>
        <w:ind w:hanging="0" w:left="283" w:right="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>Lot al qual es presenta l'oferta:</w:t>
      </w:r>
    </w:p>
    <w:p>
      <w:pPr>
        <w:pStyle w:val="BodyText"/>
        <w:numPr>
          <w:ilvl w:val="0"/>
          <w:numId w:val="2"/>
        </w:numPr>
        <w:bidi w:val="0"/>
        <w:spacing w:lineRule="auto" w:line="276" w:before="0" w:after="14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 xml:space="preserve">☐ 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>Lot 1. Subministrament de llicències Microsoft Windows Server 2025 Datacenter 16 Core</w:t>
      </w:r>
    </w:p>
    <w:p>
      <w:pPr>
        <w:pStyle w:val="BodyText"/>
        <w:numPr>
          <w:ilvl w:val="0"/>
          <w:numId w:val="2"/>
        </w:numPr>
        <w:bidi w:val="0"/>
        <w:spacing w:lineRule="auto" w:line="276" w:before="0" w:after="14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 xml:space="preserve">☐ 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>Lot 2. Subministrament de llicències Microsoft Windows Server 2025 User CAL</w:t>
      </w:r>
    </w:p>
    <w:p>
      <w:pPr>
        <w:pStyle w:val="BodyText"/>
        <w:numPr>
          <w:ilvl w:val="0"/>
          <w:numId w:val="2"/>
        </w:numPr>
        <w:bidi w:val="0"/>
        <w:spacing w:lineRule="auto" w:line="276" w:before="0" w:after="140"/>
        <w:jc w:val="both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 xml:space="preserve">☐ </w:t>
      </w: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u w:val="none"/>
          <w:shd w:fill="auto" w:val="clear"/>
          <w:lang w:val="ca-ES"/>
        </w:rPr>
        <w:t>Lot 3. Subministrament de llicències Microsoft Office LTSC Standard 2024</w:t>
      </w:r>
    </w:p>
    <w:p>
      <w:pPr>
        <w:pStyle w:val="Subtitle"/>
        <w:bidi w:val="0"/>
        <w:spacing w:lineRule="auto" w:line="276" w:before="57" w:after="57"/>
        <w:jc w:val="both"/>
        <w:rPr>
          <w:rFonts w:ascii="Arial" w:hAnsi="Arial"/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b w:val="false"/>
          <w:bCs w:val="false"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Subtitle"/>
        <w:widowControl/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i/>
          <w:iCs/>
          <w:color w:val="000000"/>
          <w:sz w:val="22"/>
          <w:szCs w:val="22"/>
          <w:lang w:val="ca-ES"/>
        </w:rPr>
      </w:pPr>
      <w:r>
        <w:rPr>
          <w:i/>
          <w:iCs/>
          <w:color w:val="000000"/>
          <w:sz w:val="22"/>
          <w:szCs w:val="22"/>
          <w:lang w:val="ca-ES"/>
        </w:rPr>
        <w:t xml:space="preserve">"En/Na ......................................... amb NIF núm. ................, en nom propi, (o en representació de l'empresa .............., CIF núm. .............., domiciliada a ........... carrer ........................, núm. .......), assabentat/da de les condicions exigides per optar a la contractació relativa </w:t>
      </w:r>
      <w:r>
        <w:rPr>
          <w:i/>
          <w:iCs/>
          <w:color w:val="000000"/>
          <w:sz w:val="22"/>
          <w:szCs w:val="22"/>
          <w:lang w:val="ca-ES"/>
        </w:rPr>
        <w:t xml:space="preserve">al contracte de subministrament ......................................................, es compromet </w:t>
      </w:r>
      <w:r>
        <w:rPr>
          <w:i/>
          <w:iCs/>
          <w:color w:val="000000"/>
          <w:sz w:val="22"/>
          <w:szCs w:val="22"/>
          <w:lang w:val="ca-ES"/>
        </w:rPr>
        <w:t xml:space="preserve">a portar-la a terme amb subjecció als Plecs de Prescripcions Tècniques Particulars i de Clàusules Administratives Particulars  </w:t>
      </w:r>
      <w:r>
        <w:rPr>
          <w:i/>
          <w:iCs/>
          <w:color w:val="000000"/>
          <w:sz w:val="22"/>
          <w:szCs w:val="22"/>
          <w:lang w:val="ca-ES"/>
        </w:rPr>
        <w:t>amb les següents condicions: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shd w:fill="auto" w:val="clear"/>
          <w:lang w:val="ca-ES"/>
        </w:rPr>
      </w:r>
    </w:p>
    <w:p>
      <w:pPr>
        <w:pStyle w:val="BodyText"/>
        <w:pBdr/>
        <w:bidi w:val="0"/>
        <w:jc w:val="left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shd w:fill="auto" w:val="clear"/>
          <w:lang w:val="ca-ES"/>
        </w:rPr>
      </w:r>
    </w:p>
    <w:p>
      <w:pPr>
        <w:pStyle w:val="BodyText"/>
        <w:pBdr/>
        <w:bidi w:val="0"/>
        <w:spacing w:lineRule="auto" w:line="276" w:before="0" w:after="140"/>
        <w:ind w:hanging="397" w:left="-113" w:right="0"/>
        <w:jc w:val="left"/>
        <w:rPr>
          <w:rFonts w:ascii="Arial" w:hAnsi="Arial" w:eastAsia="Arial" w:cs="Arial"/>
          <w:b/>
          <w:bCs/>
          <w:i w:val="false"/>
          <w:iCs w:val="false"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b/>
          <w:bCs/>
          <w:i w:val="false"/>
          <w:iCs w:val="false"/>
          <w:color w:val="000000"/>
          <w:sz w:val="22"/>
          <w:szCs w:val="22"/>
          <w:shd w:fill="auto" w:val="clear"/>
          <w:lang w:val="ca-ES"/>
        </w:rPr>
        <w:t>A) Oferta econòmica (fins a 85 punts)</w:t>
      </w:r>
    </w:p>
    <w:p>
      <w:pPr>
        <w:pStyle w:val="BodyText"/>
        <w:bidi w:val="0"/>
        <w:spacing w:lineRule="auto" w:line="276" w:before="0" w:after="140"/>
        <w:ind w:hanging="0" w:left="-170" w:right="0"/>
        <w:jc w:val="left"/>
        <w:rPr>
          <w:rFonts w:ascii="Arial" w:hAnsi="Arial" w:eastAsia="Arial" w:cs="Arial"/>
          <w:color w:val="000000"/>
          <w:sz w:val="22"/>
          <w:szCs w:val="22"/>
        </w:rPr>
      </w:pPr>
      <w:r>
        <w:rPr>
          <w:rFonts w:eastAsia="Arial" w:cs="Arial" w:ascii="Arial" w:hAnsi="Arial"/>
          <w:color w:val="000000"/>
          <w:sz w:val="22"/>
          <w:szCs w:val="22"/>
        </w:rPr>
        <w:t xml:space="preserve">Percentatge únic de descompte ofert sobre el preu unitari màxim del lot: </w:t>
      </w:r>
      <w:r>
        <w:rPr>
          <w:rStyle w:val="Strong"/>
          <w:rFonts w:eastAsia="Arial" w:cs="Arial" w:ascii="Arial" w:hAnsi="Arial"/>
          <w:color w:val="000000"/>
          <w:sz w:val="22"/>
          <w:szCs w:val="22"/>
        </w:rPr>
        <w:t>__________ %</w:t>
      </w:r>
    </w:p>
    <w:p>
      <w:pPr>
        <w:pStyle w:val="Citacienbloc"/>
        <w:bidi w:val="0"/>
        <w:spacing w:lineRule="auto" w:line="276" w:before="0" w:after="140"/>
        <w:ind w:hanging="0" w:left="-170" w:right="0"/>
        <w:jc w:val="left"/>
        <w:rPr>
          <w:rFonts w:ascii="Arial" w:hAnsi="Arial" w:eastAsia="Arial" w:cs="Arial"/>
          <w:b w:val="false"/>
          <w:bCs w:val="false"/>
          <w:i/>
          <w:iCs/>
          <w:color w:val="000000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2"/>
          <w:szCs w:val="22"/>
        </w:rPr>
        <w:t>El percentatge de descompte ofert s'aplicarà sobre el preu unitari màxim establert al PCAP per al lot corresponent.</w:t>
      </w:r>
    </w:p>
    <w:p>
      <w:pPr>
        <w:pStyle w:val="BodyText"/>
        <w:pBdr/>
        <w:bidi w:val="0"/>
        <w:jc w:val="left"/>
        <w:rPr>
          <w:rFonts w:ascii="Arial" w:hAnsi="Arial" w:eastAsia="Arial" w:cs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olor w:val="000000"/>
          <w:sz w:val="22"/>
          <w:szCs w:val="22"/>
          <w:shd w:fill="auto" w:val="clear"/>
          <w:lang w:val="ca-ES"/>
        </w:rPr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Si s’excedeix la quantia del pressupost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base de licitació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sense IVA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 xml:space="preserve">, </w:t>
      </w:r>
      <w:r>
        <w:rPr>
          <w:rFonts w:eastAsia="Arial" w:cs="Arial" w:ascii="Arial" w:hAnsi="Arial"/>
          <w:b w:val="false"/>
          <w:bCs w:val="false"/>
          <w:i/>
          <w:iCs/>
          <w:color w:val="111111"/>
          <w:sz w:val="20"/>
          <w:szCs w:val="20"/>
          <w:u w:val="none"/>
          <w:shd w:fill="auto" w:val="clear"/>
          <w:lang w:val="ca"/>
        </w:rPr>
        <w:t>l’oferta serà exclosa</w:t>
      </w:r>
      <w:r>
        <w:rPr>
          <w:rFonts w:eastAsia="Arial" w:cs="Arial" w:ascii="Arial" w:hAnsi="Arial"/>
          <w:b/>
          <w:bCs/>
          <w:i/>
          <w:iCs/>
          <w:color w:val="111111"/>
          <w:sz w:val="20"/>
          <w:szCs w:val="20"/>
          <w:u w:val="none"/>
          <w:shd w:fill="auto" w:val="clear"/>
          <w:lang w:val="ca"/>
        </w:rPr>
        <w:t>.</w:t>
      </w:r>
    </w:p>
    <w:p>
      <w:pPr>
        <w:pStyle w:val="Normal"/>
        <w:pBdr/>
        <w:bidi w:val="0"/>
        <w:spacing w:lineRule="auto" w:line="276" w:before="57" w:after="57"/>
        <w:ind w:hanging="0" w:left="0" w:right="0"/>
        <w:jc w:val="left"/>
        <w:rPr>
          <w:rFonts w:ascii="Arial" w:hAnsi="Arial" w:eastAsia="Arial" w:cs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</w:pP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** 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Si s’excedeix la quantia dels preus unitaris màxims 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sense IVA 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>establerts als plecs</w:t>
      </w:r>
      <w:r>
        <w:rPr>
          <w:rFonts w:eastAsia="Arial" w:cs="Arial" w:ascii="Arial" w:hAnsi="Arial"/>
          <w:b w:val="false"/>
          <w:bCs w:val="false"/>
          <w:i/>
          <w:iCs/>
          <w:color w:val="000000"/>
          <w:sz w:val="20"/>
          <w:szCs w:val="20"/>
          <w:u w:val="none"/>
          <w:shd w:fill="auto" w:val="clear"/>
          <w:lang w:val="ca-ES"/>
        </w:rPr>
        <w:t xml:space="preserve">, l’oferta serà exclosa. </w:t>
      </w:r>
    </w:p>
    <w:p>
      <w:pPr>
        <w:pStyle w:val="Normal"/>
        <w:pBdr/>
        <w:bidi w:val="0"/>
        <w:spacing w:lineRule="auto" w:line="276" w:before="57" w:after="0"/>
        <w:ind w:hanging="0" w:left="0" w:right="0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BodyText"/>
        <w:pBdr/>
        <w:bidi w:val="0"/>
        <w:spacing w:lineRule="auto" w:line="276" w:before="0" w:after="140"/>
        <w:ind w:hanging="227" w:left="-57" w:right="0"/>
        <w:jc w:val="left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  <w:t>B) Criteris avaluables de forma automàtica (fins a 15 punts)</w:t>
      </w:r>
    </w:p>
    <w:p>
      <w:pPr>
        <w:pStyle w:val="Heading3"/>
        <w:widowControl/>
        <w:tabs>
          <w:tab w:val="clear" w:pos="709"/>
          <w:tab w:val="right" w:pos="9638" w:leader="dot"/>
        </w:tabs>
        <w:bidi w:val="0"/>
        <w:spacing w:lineRule="auto" w:line="276" w:before="0" w:after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B.1. Reducció del termini de lliurament (fins a 10 punts)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Termini de lliurament ofert:   </w:t>
      </w:r>
      <w:r>
        <w:rPr>
          <w:rStyle w:val="Strong"/>
          <w:rFonts w:ascii="Arial" w:hAnsi="Arial"/>
          <w:b w:val="false"/>
          <w:bCs w:val="false"/>
          <w:sz w:val="22"/>
          <w:szCs w:val="22"/>
        </w:rPr>
        <w:t>__________ dies naturals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Style w:val="Emphasis"/>
          <w:rFonts w:ascii="Arial" w:hAnsi="Arial"/>
          <w:b w:val="false"/>
          <w:bCs w:val="false"/>
          <w:sz w:val="22"/>
          <w:szCs w:val="22"/>
        </w:rPr>
        <w:t>(No s'admetran ofertes superiors a 30 dies naturals.)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Style w:val="Emphasis"/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</w:r>
    </w:p>
    <w:p>
      <w:pPr>
        <w:pStyle w:val="Heading3"/>
        <w:widowControl/>
        <w:tabs>
          <w:tab w:val="clear" w:pos="709"/>
          <w:tab w:val="right" w:pos="9638" w:leader="dot"/>
        </w:tabs>
        <w:bidi w:val="0"/>
        <w:spacing w:lineRule="auto" w:line="276" w:before="0" w:after="283"/>
        <w:jc w:val="left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B.2. Suport tècnic i acompanyament (fins a 5 punts)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Style w:val="Strong"/>
          <w:rFonts w:ascii="Arial" w:hAnsi="Arial"/>
          <w:b w:val="false"/>
          <w:bCs w:val="false"/>
          <w:sz w:val="22"/>
          <w:szCs w:val="22"/>
        </w:rPr>
        <w:t>Disponibilitat durant un any d'un canal directe de suport (correu electrònic o telèfon dedicat):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☐ </w:t>
      </w:r>
      <w:r>
        <w:rPr>
          <w:rFonts w:ascii="Arial" w:hAnsi="Arial"/>
          <w:b w:val="false"/>
          <w:bCs w:val="false"/>
          <w:sz w:val="22"/>
          <w:szCs w:val="22"/>
        </w:rPr>
        <w:t>Sí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☐ </w:t>
      </w:r>
      <w:r>
        <w:rPr>
          <w:rFonts w:ascii="Arial" w:hAnsi="Arial"/>
          <w:b w:val="false"/>
          <w:bCs w:val="false"/>
          <w:sz w:val="22"/>
          <w:szCs w:val="22"/>
        </w:rPr>
        <w:t>No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Fonts w:ascii="Arial" w:hAnsi="Arial"/>
          <w:b/>
          <w:bCs/>
          <w:sz w:val="22"/>
          <w:szCs w:val="22"/>
        </w:rPr>
      </w:pPr>
      <w:r>
        <w:rPr>
          <w:rStyle w:val="Strong"/>
          <w:rFonts w:ascii="Arial" w:hAnsi="Arial"/>
          <w:b w:val="false"/>
          <w:bCs w:val="false"/>
          <w:sz w:val="22"/>
          <w:szCs w:val="22"/>
        </w:rPr>
        <w:t>Compromís de primera resposta en un termini inferior a 16 hores laborables: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☐ </w:t>
      </w:r>
      <w:r>
        <w:rPr>
          <w:rFonts w:ascii="Arial" w:hAnsi="Arial"/>
          <w:b w:val="false"/>
          <w:bCs w:val="false"/>
          <w:sz w:val="22"/>
          <w:szCs w:val="22"/>
        </w:rPr>
        <w:t>Sí</w:t>
      </w:r>
    </w:p>
    <w:p>
      <w:pPr>
        <w:pStyle w:val="BodyText"/>
        <w:widowControl/>
        <w:tabs>
          <w:tab w:val="clear" w:pos="709"/>
          <w:tab w:val="right" w:pos="9638" w:leader="dot"/>
        </w:tabs>
        <w:bidi w:val="0"/>
        <w:jc w:val="both"/>
        <w:rPr>
          <w:rFonts w:ascii="Arial" w:hAnsi="Arial"/>
          <w:b w:val="false"/>
          <w:bCs w:val="false"/>
          <w:sz w:val="22"/>
          <w:szCs w:val="22"/>
        </w:rPr>
      </w:pPr>
      <w:r>
        <w:rPr>
          <w:rFonts w:ascii="Arial" w:hAnsi="Arial"/>
          <w:b w:val="false"/>
          <w:bCs w:val="false"/>
          <w:sz w:val="22"/>
          <w:szCs w:val="22"/>
        </w:rPr>
        <w:t xml:space="preserve">☐ </w:t>
      </w:r>
      <w:r>
        <w:rPr>
          <w:rFonts w:ascii="Arial" w:hAnsi="Arial"/>
          <w:b w:val="false"/>
          <w:bCs w:val="false"/>
          <w:sz w:val="22"/>
          <w:szCs w:val="22"/>
        </w:rPr>
        <w:t>No</w:t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TOC1"/>
        <w:numPr>
          <w:ilvl w:val="0"/>
          <w:numId w:val="0"/>
        </w:numPr>
        <w:pBdr/>
        <w:bidi w:val="0"/>
        <w:spacing w:lineRule="auto" w:line="276"/>
        <w:ind w:hanging="624" w:left="624"/>
        <w:jc w:val="both"/>
        <w:rPr>
          <w:rFonts w:ascii="Arial" w:hAnsi="Arial" w:cs="Arial"/>
          <w:b/>
          <w:bCs/>
          <w:sz w:val="22"/>
          <w:szCs w:val="22"/>
          <w:lang w:val="ca-ES"/>
        </w:rPr>
      </w:pPr>
      <w:r>
        <w:rPr>
          <w:rFonts w:cs="Arial" w:ascii="Arial" w:hAnsi="Arial"/>
          <w:b/>
          <w:bCs/>
          <w:sz w:val="22"/>
          <w:szCs w:val="22"/>
          <w:lang w:val="ca-ES"/>
        </w:rPr>
      </w:r>
    </w:p>
    <w:p>
      <w:pPr>
        <w:pStyle w:val="Subtitle"/>
        <w:widowControl/>
        <w:numPr>
          <w:ilvl w:val="0"/>
          <w:numId w:val="1"/>
        </w:numPr>
        <w:pBdr/>
        <w:bidi w:val="0"/>
        <w:spacing w:lineRule="auto" w:line="276" w:before="57" w:after="57"/>
        <w:ind w:hanging="0" w:left="0" w:right="0"/>
        <w:jc w:val="both"/>
        <w:rPr>
          <w:rFonts w:ascii="Arial" w:hAnsi="Arial"/>
          <w:sz w:val="20"/>
          <w:szCs w:val="20"/>
          <w:lang w:val="ca-ES"/>
        </w:rPr>
      </w:pPr>
      <w:r>
        <w:rPr>
          <w:rStyle w:val="Fuentedeprrafopredeter1"/>
          <w:rFonts w:eastAsia="Helv" w:cs="Helv"/>
          <w:b w:val="false"/>
          <w:bCs/>
          <w:i/>
          <w:iCs/>
          <w:caps w:val="false"/>
          <w:smallCaps w:val="false"/>
          <w:strike w:val="false"/>
          <w:dstrike w:val="false"/>
          <w:color w:val="000000"/>
          <w:spacing w:val="0"/>
          <w:sz w:val="22"/>
          <w:szCs w:val="22"/>
          <w:u w:val="none"/>
          <w:shd w:fill="auto" w:val="clear"/>
          <w:lang w:val="ca-ES" w:eastAsia="es-ES"/>
        </w:rPr>
        <w:t>(Lloc, data i signatura del licitador)</w:t>
      </w:r>
      <w:r>
        <w:rPr>
          <w:rFonts w:cs="Arial"/>
          <w:b/>
          <w:bCs/>
          <w:i/>
          <w:iCs/>
          <w:color w:val="000000"/>
          <w:sz w:val="22"/>
          <w:szCs w:val="22"/>
          <w:lang w:val="ca-ES"/>
        </w:rPr>
        <w:t>.</w:t>
      </w:r>
      <w:r>
        <w:rPr>
          <w:rFonts w:cs="Arial"/>
          <w:b w:val="false"/>
          <w:bCs w:val="false"/>
          <w:i/>
          <w:iCs/>
          <w:color w:val="000000"/>
          <w:sz w:val="22"/>
          <w:szCs w:val="22"/>
          <w:lang w:val="ca-ES"/>
        </w:rPr>
        <w:t>»</w:t>
      </w:r>
    </w:p>
    <w:p>
      <w:pPr>
        <w:pStyle w:val="TOC1"/>
        <w:numPr>
          <w:ilvl w:val="0"/>
          <w:numId w:val="1"/>
        </w:numPr>
        <w:bidi w:val="0"/>
        <w:spacing w:lineRule="auto" w:line="276" w:before="57" w:after="57"/>
        <w:contextualSpacing w:val="false"/>
        <w:jc w:val="both"/>
        <w:rPr>
          <w:rFonts w:ascii="Arial" w:hAnsi="Arial" w:cs="Arial"/>
          <w:b/>
          <w:bCs/>
          <w:i w:val="false"/>
          <w:iCs w:val="false"/>
          <w:color w:val="auto"/>
          <w:sz w:val="22"/>
          <w:szCs w:val="22"/>
          <w:lang w:val="ca-ES" w:eastAsia="zh-CN" w:bidi="hi-IN"/>
        </w:rPr>
      </w:pPr>
      <w:r>
        <w:rPr>
          <w:rFonts w:cs="Arial" w:ascii="Arial" w:hAnsi="Arial"/>
          <w:b/>
          <w:bCs/>
          <w:i w:val="false"/>
          <w:iCs w:val="false"/>
          <w:color w:val="auto"/>
          <w:sz w:val="22"/>
          <w:szCs w:val="22"/>
          <w:lang w:val="ca-ES" w:eastAsia="zh-CN" w:bidi="hi-IN"/>
        </w:rPr>
      </w:r>
    </w:p>
    <w:p>
      <w:pPr>
        <w:pStyle w:val="Subtitle"/>
        <w:bidi w:val="0"/>
        <w:spacing w:lineRule="auto" w:line="276" w:before="57" w:after="57"/>
        <w:jc w:val="both"/>
        <w:rPr>
          <w:rFonts w:ascii="Arial" w:hAnsi="Arial" w:eastAsia="Helvetica-Bold" w:cs="Helvetica-Bold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FFFFFF" w:val="clear"/>
          <w:lang w:val="ca-ES" w:eastAsia="zh-CN" w:bidi="hi-IN"/>
        </w:rPr>
      </w:pPr>
      <w:r>
        <w:rPr>
          <w:rFonts w:eastAsia="Helvetica-Bold" w:cs="Helvetica-Bold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FFFFFF" w:val="clear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rFonts w:ascii="Arial" w:hAnsi="Arial" w:eastAsia="Helvetica-Bold" w:cs="Helvetica-Bold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FFFFFF" w:val="clear"/>
          <w:lang w:val="ca-ES" w:eastAsia="zh-CN" w:bidi="hi-IN"/>
        </w:rPr>
      </w:pPr>
      <w:r>
        <w:rPr>
          <w:rFonts w:eastAsia="Helvetica-Bold" w:cs="Helvetica-Bold" w:ascii="Arial" w:hAnsi="Arial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FFFFFF" w:val="clear"/>
          <w:lang w:val="ca-ES" w:eastAsia="zh-CN" w:bidi="hi-IN"/>
        </w:rPr>
      </w:r>
    </w:p>
    <w:p>
      <w:pPr>
        <w:pStyle w:val="BodyText"/>
        <w:bidi w:val="0"/>
        <w:spacing w:lineRule="auto" w:line="276" w:before="57" w:after="57"/>
        <w:jc w:val="both"/>
        <w:rPr>
          <w:i w:val="false"/>
          <w:iCs w:val="false"/>
          <w:color w:val="auto"/>
          <w:u w:val="single"/>
          <w:lang w:val="ca-ES"/>
        </w:rPr>
      </w:pPr>
      <w:r>
        <w:rPr>
          <w:rFonts w:eastAsia="Helvetica-Bold" w:cs="Helvetica-Bold" w:ascii="Arial" w:hAnsi="Arial"/>
          <w:b w:val="false"/>
          <w:bCs w:val="false"/>
          <w:i w:val="false"/>
          <w:iCs w:val="false"/>
          <w:color w:val="auto"/>
          <w:sz w:val="22"/>
          <w:szCs w:val="22"/>
          <w:u w:val="none"/>
          <w:shd w:fill="FFFFFF" w:val="clear"/>
          <w:lang w:val="ca-ES" w:eastAsia="zh-CN" w:bidi="hi-IN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85"/>
        </w:tabs>
        <w:ind w:left="624" w:hanging="624"/>
      </w:pPr>
      <w:rPr>
        <w:rFonts w:ascii="Arial" w:hAnsi="Arial"/>
        <w:color w:val="auto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2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3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4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5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6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7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  <w:lvl w:ilvl="8">
      <w:start w:val="1"/>
      <w:numFmt w:val="bullet"/>
      <w:lvlText w:val=""/>
      <w:lvlJc w:val="left"/>
      <w:pPr>
        <w:tabs>
          <w:tab w:val="num" w:pos="85"/>
        </w:tabs>
        <w:ind w:left="1026" w:hanging="969"/>
      </w:pPr>
      <w:rPr>
        <w:rFonts w:ascii="Symbol" w:hAnsi="Symbol" w:cs="Symbol" w:hint="default"/>
        <w:color w:val="auto"/>
        <w:sz w:val="22"/>
        <w:szCs w:val="22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1003"/>
        </w:tabs>
        <w:ind w:left="1003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363"/>
        </w:tabs>
        <w:ind w:left="1363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723"/>
        </w:tabs>
        <w:ind w:left="1723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2083"/>
        </w:tabs>
        <w:ind w:left="2083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443"/>
        </w:tabs>
        <w:ind w:left="2443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803"/>
        </w:tabs>
        <w:ind w:left="2803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163"/>
        </w:tabs>
        <w:ind w:left="3163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523"/>
        </w:tabs>
        <w:ind w:left="3523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883"/>
        </w:tabs>
        <w:ind w:left="3883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9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a-E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Heading3">
    <w:name w:val="heading 3"/>
    <w:basedOn w:val="Encapalament"/>
    <w:next w:val="BodyText"/>
    <w:qFormat/>
    <w:pPr>
      <w:numPr>
        <w:ilvl w:val="0"/>
        <w:numId w:val="0"/>
      </w:num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Fuentedeprrafopredeter1">
    <w:name w:val="Fuente de párrafo predeter.1"/>
    <w:qFormat/>
    <w:rPr/>
  </w:style>
  <w:style w:type="character" w:styleId="Smbolsdenumeraci">
    <w:name w:val="Símbols de numeració"/>
    <w:qFormat/>
    <w:rPr>
      <w:rFonts w:ascii="Arial" w:hAnsi="Arial"/>
      <w:color w:val="auto"/>
      <w:sz w:val="22"/>
      <w:szCs w:val="22"/>
    </w:rPr>
  </w:style>
  <w:style w:type="character" w:styleId="Pics">
    <w:name w:val="Pics"/>
    <w:qFormat/>
    <w:rPr>
      <w:rFonts w:ascii="OpenSymbol" w:hAnsi="OpenSymbol" w:eastAsia="OpenSymbol" w:cs="OpenSymbol"/>
    </w:rPr>
  </w:style>
  <w:style w:type="character" w:styleId="Fuentedeprrafopredeter">
    <w:name w:val="Fuente de párrafo predeter."/>
    <w:qFormat/>
    <w:rPr/>
  </w:style>
  <w:style w:type="character" w:styleId="Strong">
    <w:name w:val="Strong"/>
    <w:qFormat/>
    <w:rPr>
      <w:b/>
      <w:bCs/>
    </w:rPr>
  </w:style>
  <w:style w:type="character" w:styleId="Emphasis">
    <w:name w:val="Emphasis"/>
    <w:basedOn w:val="Fuentedeprrafopredeter"/>
    <w:qFormat/>
    <w:rPr>
      <w:i/>
      <w:iCs/>
    </w:rPr>
  </w:style>
  <w:style w:type="paragraph" w:styleId="Encapalament">
    <w:name w:val="Encapçalament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ex">
    <w:name w:val="Índex"/>
    <w:basedOn w:val="Normal"/>
    <w:qFormat/>
    <w:pPr>
      <w:suppressLineNumbers/>
    </w:pPr>
    <w:rPr>
      <w:rFonts w:cs="Arial"/>
    </w:rPr>
  </w:style>
  <w:style w:type="paragraph" w:styleId="Subtitle">
    <w:name w:val="Subtitle"/>
    <w:basedOn w:val="Encapalament"/>
    <w:next w:val="BodyText"/>
    <w:qFormat/>
    <w:pPr>
      <w:suppressAutoHyphens w:val="true"/>
      <w:jc w:val="both"/>
    </w:pPr>
    <w:rPr>
      <w:rFonts w:ascii="Arial" w:hAnsi="Arial" w:eastAsia="Arial" w:cs="Arial"/>
      <w:i/>
      <w:iCs/>
    </w:rPr>
  </w:style>
  <w:style w:type="paragraph" w:styleId="LO-Normal">
    <w:name w:val="LO-Normal"/>
    <w:qFormat/>
    <w:pPr>
      <w:widowControl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ca-ES" w:eastAsia="zh-CN" w:bidi="hi-IN"/>
    </w:rPr>
  </w:style>
  <w:style w:type="paragraph" w:styleId="Citacienbloc">
    <w:name w:val="Citació en bloc"/>
    <w:basedOn w:val="Normal"/>
    <w:qFormat/>
    <w:pPr/>
    <w:rPr>
      <w:rFonts w:ascii="Arial" w:hAnsi="Arial"/>
      <w:b/>
      <w:bCs/>
      <w:sz w:val="26"/>
    </w:rPr>
  </w:style>
  <w:style w:type="paragraph" w:styleId="TOC1">
    <w:name w:val="toc 1"/>
    <w:basedOn w:val="ndex"/>
    <w:pPr>
      <w:widowControl/>
      <w:numPr>
        <w:ilvl w:val="0"/>
        <w:numId w:val="1"/>
      </w:numPr>
      <w:tabs>
        <w:tab w:val="clear" w:pos="709"/>
        <w:tab w:val="right" w:pos="10262" w:leader="dot"/>
      </w:tabs>
      <w:bidi w:val="0"/>
      <w:spacing w:lineRule="exact" w:line="340" w:before="0" w:after="0"/>
      <w:ind w:hanging="624" w:left="624" w:right="0"/>
      <w:contextualSpacing/>
      <w:outlineLvl w:val="0"/>
    </w:pPr>
    <w:rPr>
      <w:rFonts w:ascii="Arial" w:hAnsi="Arial"/>
      <w:b w:val="false"/>
      <w:sz w:val="22"/>
    </w:rPr>
  </w:style>
  <w:style w:type="numbering" w:styleId="Pic">
    <w:name w:val="Pic –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LibreOffice/26.2.4.2$Windows_X86_64 LibreOffice_project/0229ac93fcf0d7cbc6376066c6f35021cef002dc</Application>
  <AppVersion>15.0000</AppVersion>
  <Pages>2</Pages>
  <Words>303</Words>
  <Characters>1860</Characters>
  <CharactersWithSpaces>2140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2026-08-24T14:30:08Z</dcterms:created>
  <dc:creator/>
  <dc:description/>
  <dc:language>es-ES</dc:language>
  <cp:lastModifiedBy/>
  <dcterms:modified xsi:type="dcterms:W3CDTF">2026-08-24T14:31:59Z</dcterms:modified>
  <cp:revision>3</cp:revision>
  <dc:subject/>
  <dc:title/>
</cp:coreProperties>
</file>