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spacing w:lineRule="auto" w:line="276"/>
        <w:jc w:val="both"/>
        <w:rPr>
          <w:rFonts w:ascii="Arial" w:hAnsi="Arial"/>
          <w:b/>
          <w:bCs/>
          <w:sz w:val="22"/>
          <w:szCs w:val="22"/>
        </w:rPr>
      </w:pP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Documentació administrativa per participar en el procediment obert </w:t>
      </w:r>
      <w:r>
        <w:rPr>
          <w:rFonts w:eastAsia="Arial" w:cs="Arial" w:ascii="Arial" w:hAnsi="Arial"/>
          <w:b/>
          <w:bCs/>
          <w:i/>
          <w:iCs/>
          <w:color w:val="000000"/>
          <w:sz w:val="22"/>
          <w:szCs w:val="22"/>
          <w:u w:val="none"/>
          <w:shd w:fill="auto" w:val="clear"/>
          <w:lang w:val="ca-ES"/>
        </w:rPr>
        <w:t xml:space="preserve">simplificat </w:t>
      </w:r>
      <w:r>
        <w:rPr>
          <w:rFonts w:eastAsia="Arial" w:cs="Arial" w:ascii="Arial" w:hAnsi="Arial"/>
          <w:b/>
          <w:bCs/>
          <w:i/>
          <w:iCs/>
          <w:color w:val="000000"/>
          <w:sz w:val="22"/>
          <w:szCs w:val="22"/>
          <w:u w:val="none"/>
          <w:shd w:fill="auto" w:val="clear"/>
          <w:lang w:val="ca-ES"/>
        </w:rPr>
        <w:t xml:space="preserve">abreujat (sumari) </w:t>
      </w:r>
      <w:r>
        <w:rPr>
          <w:rFonts w:eastAsia="Arial" w:cs="Arial" w:ascii="Arial" w:hAnsi="Arial"/>
          <w:b/>
          <w:bCs/>
          <w:i/>
          <w:iCs/>
          <w:color w:val="000000"/>
          <w:sz w:val="22"/>
          <w:szCs w:val="22"/>
          <w:u w:val="none"/>
          <w:shd w:fill="auto" w:val="clear"/>
          <w:lang w:val="ca-ES"/>
        </w:rPr>
        <w:t>per a la contractació de</w:t>
      </w:r>
      <w:r>
        <w:rPr>
          <w:rFonts w:eastAsia="Arial" w:cs="Arial" w:ascii="Arial" w:hAnsi="Arial"/>
          <w:b/>
          <w:bCs/>
          <w:i/>
          <w:iCs/>
          <w:color w:val="000000"/>
          <w:sz w:val="22"/>
          <w:szCs w:val="22"/>
          <w:u w:val="none"/>
          <w:shd w:fill="auto" w:val="clear"/>
          <w:lang w:val="ca-ES"/>
        </w:rPr>
        <w:t xml:space="preserve">l </w:t>
      </w:r>
      <w:r>
        <w:rPr>
          <w:rFonts w:eastAsia="Arial" w:cs="Arial" w:ascii="Arial" w:hAnsi="Arial"/>
          <w:b/>
          <w:bCs/>
          <w:i/>
          <w:iCs/>
          <w:color w:val="000000"/>
          <w:sz w:val="22"/>
          <w:szCs w:val="22"/>
          <w:u w:val="none"/>
          <w:shd w:fill="auto" w:val="clear"/>
          <w:lang w:val="ca-ES"/>
        </w:rPr>
        <w:t>subministrament</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r>
        <w:rPr>
          <w:rFonts w:eastAsia="Arial" w:cs="Arial" w:ascii="Arial" w:hAnsi="Arial"/>
          <w:b w:val="false"/>
          <w:bCs w:val="false"/>
          <w:i/>
          <w:iCs/>
          <w:color w:val="2A6099"/>
          <w:sz w:val="22"/>
          <w:szCs w:val="22"/>
          <w:u w:val="none"/>
          <w:shd w:fill="auto" w:val="clear"/>
          <w:lang w:val="ca-ES"/>
        </w:rPr>
        <w:t xml:space="preserve">(si hi ha divisió en lots, cal indicar el/s lot/s </w:t>
      </w:r>
      <w:r>
        <w:rPr>
          <w:rFonts w:eastAsia="Arial" w:cs="Arial" w:ascii="Arial" w:hAnsi="Arial"/>
          <w:b w:val="false"/>
          <w:bCs w:val="false"/>
          <w:i/>
          <w:iCs/>
          <w:color w:val="2A6099"/>
          <w:sz w:val="22"/>
          <w:szCs w:val="22"/>
          <w:u w:val="none"/>
          <w:shd w:fill="auto" w:val="clear"/>
          <w:lang w:val="ca-ES"/>
        </w:rPr>
        <w:t>a què es presenten</w:t>
      </w:r>
      <w:r>
        <w:rPr>
          <w:rFonts w:eastAsia="Arial" w:cs="Arial" w:ascii="Arial" w:hAnsi="Arial"/>
          <w:b w:val="false"/>
          <w:bCs w:val="false"/>
          <w:i/>
          <w:iCs/>
          <w:color w:val="2A6099"/>
          <w:sz w:val="22"/>
          <w:szCs w:val="22"/>
          <w:u w:val="none"/>
          <w:shd w:fill="auto" w:val="clear"/>
          <w:lang w:val="ca-ES"/>
        </w:rPr>
        <w:t>)</w:t>
      </w:r>
    </w:p>
    <w:p>
      <w:pPr>
        <w:pStyle w:val="Normal"/>
        <w:pBdr/>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numPr>
          <w:ilvl w:val="0"/>
          <w:numId w:val="3"/>
        </w:numPr>
        <w:pBdr/>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 xml:space="preserve">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 </w:t>
      </w:r>
      <w:r>
        <w:rPr>
          <w:rFonts w:eastAsia="Arial" w:cs="Arial" w:ascii="Arial" w:hAnsi="Arial"/>
          <w:b w:val="false"/>
          <w:bCs w:val="false"/>
          <w:i/>
          <w:color w:val="000000"/>
          <w:sz w:val="22"/>
          <w:szCs w:val="22"/>
          <w:u w:val="none"/>
          <w:shd w:fill="auto" w:val="clear"/>
          <w:lang w:val="ca-ES"/>
        </w:rPr>
        <w:t>la contracta</w:t>
      </w:r>
      <w:r>
        <w:rPr>
          <w:rFonts w:eastAsia="Arial" w:cs="Arial" w:ascii="Arial" w:hAnsi="Arial"/>
          <w:b w:val="false"/>
          <w:bCs w:val="false"/>
          <w:i/>
          <w:color w:val="000000"/>
          <w:sz w:val="22"/>
          <w:szCs w:val="22"/>
          <w:u w:val="none"/>
          <w:shd w:fill="FFFFFF" w:val="clear"/>
          <w:lang w:val="ca-ES"/>
        </w:rPr>
        <w:t>ci</w:t>
      </w:r>
      <w:r>
        <w:rPr>
          <w:rFonts w:eastAsia="Arial" w:cs="Arial" w:ascii="Arial" w:hAnsi="Arial"/>
          <w:b w:val="false"/>
          <w:i/>
          <w:color w:val="000000"/>
          <w:sz w:val="22"/>
          <w:szCs w:val="22"/>
          <w:u w:val="none"/>
          <w:shd w:fill="FFFFFF" w:val="clear"/>
          <w:lang w:val="ca-ES"/>
        </w:rPr>
        <w:t xml:space="preserve">ó </w:t>
      </w:r>
      <w:r>
        <w:rPr>
          <w:rFonts w:eastAsia="Arial" w:cs="Arial" w:ascii="Arial" w:hAnsi="Arial"/>
          <w:b w:val="false"/>
          <w:bCs w:val="false"/>
          <w:i/>
          <w:color w:val="000000"/>
          <w:sz w:val="22"/>
          <w:szCs w:val="22"/>
          <w:u w:val="none"/>
          <w:shd w:fill="FFFFFF" w:val="clear"/>
          <w:lang w:val="ca-ES"/>
        </w:rPr>
        <w:t xml:space="preserve">del </w:t>
      </w:r>
      <w:r>
        <w:rPr>
          <w:rFonts w:eastAsia="Arial" w:cs="Arial" w:ascii="Arial" w:hAnsi="Arial"/>
          <w:b w:val="false"/>
          <w:bCs w:val="false"/>
          <w:i/>
          <w:color w:val="000000"/>
          <w:sz w:val="22"/>
          <w:szCs w:val="22"/>
          <w:u w:val="none"/>
          <w:shd w:fill="FFFFFF" w:val="clear"/>
          <w:lang w:val="ca-ES"/>
        </w:rPr>
        <w:t xml:space="preserve">subministrament </w:t>
      </w:r>
      <w:r>
        <w:rPr>
          <w:rFonts w:eastAsia="Arial" w:cs="Arial" w:ascii="Arial" w:hAnsi="Arial"/>
          <w:b w:val="false"/>
          <w:bCs w:val="false"/>
          <w:i/>
          <w:color w:val="000000"/>
          <w:sz w:val="22"/>
          <w:szCs w:val="22"/>
          <w:u w:val="none"/>
          <w:shd w:fill="FFFFFF" w:val="clear"/>
          <w:lang w:val="ca-ES"/>
        </w:rPr>
        <w:t xml:space="preserve">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pBdr/>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pBdr/>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3"/>
        </w:numPr>
        <w:pBdr/>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3"/>
        </w:numPr>
        <w:pBdr/>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3"/>
        </w:numPr>
        <w:pBdr/>
        <w:spacing w:lineRule="auto" w:line="276" w:before="0" w:after="0"/>
        <w:ind w:hanging="0" w:left="0" w:right="0"/>
        <w:jc w:val="both"/>
        <w:rPr>
          <w:rFonts w:ascii="Arial" w:hAnsi="Arial"/>
          <w:i/>
          <w:iCs/>
          <w:color w:val="000000"/>
          <w:sz w:val="22"/>
          <w:szCs w:val="22"/>
          <w:u w:val="none"/>
          <w:shd w:fill="auto" w:val="clear"/>
          <w:lang w:val="ca-ES"/>
        </w:rPr>
      </w:pPr>
      <w:r>
        <w:rPr>
          <w:rFonts w:eastAsia="Helv" w:cs="Helv" w:ascii="Arial" w:hAnsi="Arial"/>
          <w:b w:val="false"/>
          <w:i/>
          <w:iCs/>
          <w:color w:val="auto"/>
          <w:sz w:val="22"/>
          <w:szCs w:val="22"/>
          <w:u w:val="none"/>
          <w:shd w:fill="auto" w:val="clear"/>
          <w:lang w:val="ca-ES"/>
        </w:rPr>
        <w:t>2</w:t>
      </w:r>
      <w:r>
        <w:rPr>
          <w:rFonts w:eastAsia="Helv" w:cs="Helv" w:ascii="Arial" w:hAnsi="Arial"/>
          <w:b w:val="false"/>
          <w:i/>
          <w:iCs/>
          <w:color w:val="auto"/>
          <w:sz w:val="22"/>
          <w:szCs w:val="22"/>
          <w:u w:val="none"/>
          <w:shd w:fill="auto" w:val="clear"/>
          <w:lang w:val="ca-ES"/>
        </w:rPr>
        <w:t xml:space="preserve">- </w:t>
      </w:r>
      <w:r>
        <w:rPr>
          <w:rFonts w:eastAsia="Helv" w:cs="Helv" w:ascii="Arial" w:hAnsi="Arial"/>
          <w:b w:val="false"/>
          <w:i/>
          <w:iCs/>
          <w:color w:val="auto"/>
          <w:sz w:val="22"/>
          <w:szCs w:val="22"/>
          <w:u w:val="none"/>
          <w:shd w:fill="auto" w:val="clear"/>
          <w:lang w:val="ca-ES"/>
        </w:rPr>
        <w:t>Q</w:t>
      </w:r>
      <w:r>
        <w:rPr>
          <w:rFonts w:eastAsia="Helv" w:cs="Helv" w:ascii="Arial" w:hAnsi="Arial"/>
          <w:b w:val="false"/>
          <w:i/>
          <w:iCs/>
          <w:color w:val="auto"/>
          <w:sz w:val="22"/>
          <w:szCs w:val="22"/>
          <w:u w:val="none"/>
          <w:shd w:fill="auto" w:val="clear"/>
          <w:lang w:val="ca-ES"/>
        </w:rPr>
        <w:t xml:space="preserve">ue </w:t>
      </w:r>
      <w:r>
        <w:rPr>
          <w:rFonts w:eastAsia="Helv" w:cs="Helv" w:ascii="Arial" w:hAnsi="Arial"/>
          <w:b w:val="false"/>
          <w:i/>
          <w:iCs/>
          <w:color w:val="auto"/>
          <w:sz w:val="22"/>
          <w:szCs w:val="22"/>
          <w:u w:val="single"/>
          <w:shd w:fill="auto" w:val="clear"/>
          <w:lang w:val="ca-ES"/>
        </w:rPr>
        <w:t>disposa de la so</w:t>
      </w:r>
      <w:r>
        <w:rPr>
          <w:rFonts w:eastAsia="Arial" w:cs="Arial" w:ascii="Arial" w:hAnsi="Arial"/>
          <w:b w:val="false"/>
          <w:bCs w:val="false"/>
          <w:i/>
          <w:iCs/>
          <w:color w:val="auto"/>
          <w:sz w:val="22"/>
          <w:szCs w:val="22"/>
          <w:u w:val="single"/>
          <w:shd w:fill="auto" w:val="clear"/>
          <w:lang w:val="ca-ES"/>
        </w:rPr>
        <w:t>lvència</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 xml:space="preserve">indicada en la taula de dades bàsiques del contracte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I</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per participar en la present licitació.</w:t>
      </w:r>
    </w:p>
    <w:p>
      <w:pPr>
        <w:pStyle w:val="BodyText"/>
        <w:pBdr/>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3"/>
        </w:numPr>
        <w:pBdr/>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3</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xml:space="preserve">. En el cas de presentar-se com  a UTE cada un dels empresaris que formin l'agrupació hauran de declarar aquesta circumstància. </w:t>
      </w:r>
    </w:p>
    <w:p>
      <w:pPr>
        <w:pStyle w:val="BodyText"/>
        <w:pBdr/>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3"/>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3"/>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3"/>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numPr>
          <w:ilvl w:val="0"/>
          <w:numId w:val="3"/>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3"/>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6</w:t>
      </w:r>
      <w:r>
        <w:rPr>
          <w:rFonts w:ascii="Arial" w:hAnsi="Arial"/>
          <w:i/>
          <w:iCs/>
          <w:color w:val="000000"/>
          <w:sz w:val="22"/>
          <w:szCs w:val="22"/>
          <w:shd w:fill="auto" w:val="clear"/>
          <w:lang w:val="ca-ES"/>
        </w:rPr>
        <w:t>.-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numPr>
          <w:ilvl w:val="0"/>
          <w:numId w:val="3"/>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3"/>
        </w:numPr>
        <w:pBdr/>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7.-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pBdr/>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3"/>
        </w:numPr>
        <w:pBdr/>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 Que en cas de resultar proposat com adjudicatari, es compromet a aportar la documentació assenyalada en la clàusula VI del present plec.</w:t>
      </w:r>
    </w:p>
    <w:p>
      <w:pPr>
        <w:pStyle w:val="BodyText"/>
        <w:numPr>
          <w:ilvl w:val="0"/>
          <w:numId w:val="3"/>
        </w:numPr>
        <w:pBdr/>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3"/>
        </w:numPr>
        <w:pBdr/>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9.</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que cobreixi les necessitats objecte del contracte, d'acord amb la clàusula XI d'aquest plec.</w:t>
      </w:r>
    </w:p>
    <w:p>
      <w:pPr>
        <w:pStyle w:val="BodyText"/>
        <w:numPr>
          <w:ilvl w:val="0"/>
          <w:numId w:val="3"/>
        </w:numPr>
        <w:pBdr/>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3"/>
        </w:numPr>
        <w:pBdr/>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10</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3"/>
        </w:numPr>
        <w:pBdr/>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3"/>
        </w:numPr>
        <w:pBdr/>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3"/>
        </w:numPr>
        <w:pBdr/>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3"/>
        </w:numPr>
        <w:pBdr/>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3"/>
        </w:numPr>
        <w:pBdr/>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3"/>
        </w:numPr>
        <w:pBdr/>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2</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3"/>
        </w:numPr>
        <w:pBdr/>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3"/>
        </w:numPr>
        <w:pBdr/>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3</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numPr>
          <w:ilvl w:val="0"/>
          <w:numId w:val="3"/>
        </w:numPr>
        <w:pBdr/>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3"/>
        </w:numPr>
        <w:pBdr/>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4</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l’Ajuntament de Granollers.</w:t>
      </w:r>
    </w:p>
    <w:p>
      <w:pPr>
        <w:pStyle w:val="BodyText"/>
        <w:pBdr/>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pBdr/>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 xml:space="preserve">5.- Que es disposa d’avaluació de riscos laborals conforme la normativa vigent. </w:t>
      </w:r>
    </w:p>
    <w:p>
      <w:pPr>
        <w:pStyle w:val="BodyText"/>
        <w:numPr>
          <w:ilvl w:val="0"/>
          <w:numId w:val="3"/>
        </w:numPr>
        <w:pBdr/>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3"/>
        </w:numPr>
        <w:pBdr/>
        <w:spacing w:lineRule="auto" w:line="276"/>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6</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widowControl/>
        <w:numPr>
          <w:ilvl w:val="0"/>
          <w:numId w:val="3"/>
        </w:numPr>
        <w:pBdr/>
        <w:tabs>
          <w:tab w:val="clear" w:pos="720"/>
        </w:tabs>
        <w:bidi w:val="0"/>
        <w:spacing w:lineRule="auto" w:line="276" w:before="0" w:after="0"/>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BodyText"/>
        <w:widowControl/>
        <w:numPr>
          <w:ilvl w:val="0"/>
          <w:numId w:val="3"/>
        </w:numPr>
        <w:pBdr/>
        <w:tabs>
          <w:tab w:val="clear" w:pos="720"/>
        </w:tabs>
        <w:bidi w:val="0"/>
        <w:spacing w:lineRule="auto" w:line="276" w:before="0" w:after="0"/>
        <w:ind w:hanging="0" w:left="0" w:right="0"/>
        <w:jc w:val="both"/>
        <w:rPr>
          <w:rStyle w:val="Fuentedeprrafopredeter"/>
          <w:rFonts w:eastAsia="Times New Roman" w:cs="Times New Roman"/>
          <w:b w:val="false"/>
          <w:bCs w:val="false"/>
          <w:i/>
          <w:iCs/>
          <w:u w:val="none"/>
          <w:shd w:fill="auto" w:val="clear"/>
          <w:lang w:eastAsia="zh-CN" w:bidi="hi-IN"/>
        </w:rPr>
      </w:pPr>
      <w:r>
        <w:rPr>
          <w:rFonts w:ascii="Arial" w:hAnsi="Arial"/>
          <w:i w:val="false"/>
          <w:iCs w:val="false"/>
          <w:color w:val="auto"/>
          <w:sz w:val="22"/>
          <w:szCs w:val="22"/>
          <w:lang w:val="ca-ES"/>
        </w:rPr>
      </w:r>
    </w:p>
    <w:p>
      <w:pPr>
        <w:pStyle w:val="BodyText"/>
        <w:widowControl/>
        <w:numPr>
          <w:ilvl w:val="0"/>
          <w:numId w:val="3"/>
        </w:numPr>
        <w:pBdr/>
        <w:tabs>
          <w:tab w:val="clear" w:pos="720"/>
        </w:tabs>
        <w:bidi w:val="0"/>
        <w:spacing w:lineRule="auto" w:line="276" w:before="57" w:after="57"/>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7</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3"/>
        </w:numPr>
        <w:pBdr/>
        <w:tabs>
          <w:tab w:val="clear" w:pos="720"/>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numPr>
          <w:ilvl w:val="0"/>
          <w:numId w:val="3"/>
        </w:numPr>
        <w:pBdr/>
        <w:tabs>
          <w:tab w:val="clear" w:pos="720"/>
        </w:tabs>
        <w:bidi w:val="0"/>
        <w:spacing w:lineRule="auto" w:line="276" w:before="0" w:after="0"/>
        <w:ind w:hanging="0" w:left="0" w:right="0"/>
        <w:jc w:val="both"/>
        <w:rPr>
          <w:rStyle w:val="Fuentedeprrafopredeter"/>
          <w:rFonts w:ascii="Arial" w:hAnsi="Arial" w:eastAsia="Times New Roman" w:cs="Times New Roman"/>
          <w:b/>
          <w:bCs/>
          <w:i w:val="false"/>
          <w:iCs w:val="false"/>
          <w:color w:val="auto"/>
          <w:sz w:val="22"/>
          <w:szCs w:val="22"/>
          <w:u w:val="single"/>
          <w:shd w:fill="auto" w:val="clear"/>
          <w:lang w:val="ca-ES" w:eastAsia="zh-CN" w:bidi="hi-IN"/>
        </w:rPr>
      </w:pPr>
      <w:r>
        <w:rPr>
          <w:rFonts w:ascii="Arial" w:hAnsi="Arial"/>
          <w:b/>
          <w:bCs/>
          <w:i w:val="false"/>
          <w:iCs w:val="false"/>
          <w:color w:val="auto"/>
          <w:sz w:val="22"/>
          <w:szCs w:val="22"/>
          <w:u w:val="single"/>
          <w:shd w:fill="auto" w:val="clear"/>
          <w:lang w:val="ca-ES"/>
        </w:rPr>
      </w:r>
    </w:p>
    <w:p>
      <w:pPr>
        <w:pStyle w:val="BodyText"/>
        <w:pBdr/>
        <w:spacing w:lineRule="auto" w:line="276"/>
        <w:jc w:val="both"/>
        <w:rPr>
          <w:rFonts w:ascii="Arial" w:hAnsi="Arial"/>
          <w:b/>
          <w:bCs/>
          <w:i/>
          <w:iCs/>
          <w:color w:val="000000"/>
          <w:sz w:val="22"/>
          <w:szCs w:val="22"/>
          <w:u w:val="single"/>
          <w:lang w:val="ca-ES"/>
        </w:rPr>
      </w:pPr>
      <w:r>
        <w:rPr>
          <w:rFonts w:ascii="Arial" w:hAnsi="Arial"/>
          <w:b/>
          <w:bCs/>
          <w:i/>
          <w:iCs/>
          <w:color w:val="000000"/>
          <w:sz w:val="22"/>
          <w:szCs w:val="22"/>
          <w:u w:val="single"/>
          <w:lang w:val="ca-ES"/>
        </w:rPr>
      </w:r>
    </w:p>
    <w:p>
      <w:pPr>
        <w:pStyle w:val="BodyText"/>
        <w:pBdr/>
        <w:spacing w:lineRule="auto" w:line="276"/>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numPr>
          <w:ilvl w:val="0"/>
          <w:numId w:val="3"/>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 l’Ajuntament de Granollers a la seva consulta, i declara que la informació continguda és correcta.</w:t>
      </w:r>
    </w:p>
    <w:p>
      <w:pPr>
        <w:pStyle w:val="BodyText"/>
        <w:numPr>
          <w:ilvl w:val="0"/>
          <w:numId w:val="3"/>
        </w:numPr>
        <w:pBdr/>
        <w:tabs>
          <w:tab w:val="clear" w:pos="720"/>
          <w:tab w:val="left" w:pos="540" w:leader="none"/>
        </w:tabs>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3"/>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3"/>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3"/>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3"/>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3"/>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4.- En el cas d’empreses de més de 50 treballadors o treballadores,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es disposa obligatòriament d’</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un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pla d’igualtat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conforme l’article 45 de la «Llei orgànica 3/2007, de 22 de març, per a la igualtat efectiva de dones i homes» i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aquest està</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inscrit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en el registre laboral corresponent. </w:t>
      </w:r>
    </w:p>
    <w:p>
      <w:pPr>
        <w:pStyle w:val="BodyText"/>
        <w:numPr>
          <w:ilvl w:val="0"/>
          <w:numId w:val="3"/>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3"/>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numPr>
          <w:ilvl w:val="0"/>
          <w:numId w:val="3"/>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3"/>
        </w:numPr>
        <w:pBdr/>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numPr>
          <w:ilvl w:val="0"/>
          <w:numId w:val="3"/>
        </w:numPr>
        <w:pBdr/>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numPr>
          <w:ilvl w:val="0"/>
          <w:numId w:val="3"/>
        </w:numPr>
        <w:pBdr/>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numPr>
          <w:ilvl w:val="0"/>
          <w:numId w:val="3"/>
        </w:numPr>
        <w:pBdr/>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3"/>
        </w:numPr>
        <w:pBd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numPr>
          <w:ilvl w:val="0"/>
          <w:numId w:val="3"/>
        </w:numPr>
        <w:pBdr/>
        <w:tabs>
          <w:tab w:val="clear" w:pos="720"/>
          <w:tab w:val="left" w:pos="540" w:leader="none"/>
        </w:tabs>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3"/>
        </w:numPr>
        <w:pBdr/>
        <w:bidi w:val="0"/>
        <w:spacing w:lineRule="auto" w:line="276" w:before="57" w:after="57"/>
        <w:ind w:hanging="0" w:left="0" w:right="0"/>
        <w:jc w:val="both"/>
        <w:rPr>
          <w:rFonts w:ascii="Arial" w:hAnsi="Arial"/>
          <w:i/>
          <w:iCs/>
          <w:color w:val="000000"/>
          <w:sz w:val="20"/>
          <w:szCs w:val="20"/>
          <w:lang w:val="ca-ES"/>
        </w:rPr>
      </w:pPr>
      <w:r>
        <w:rPr>
          <w:rStyle w:val="Fuentedeprrafopredeter1"/>
          <w:rFonts w:eastAsia="Helv" w:cs="Helv"/>
          <w:b w:val="false"/>
          <w:bCs/>
          <w:i/>
          <w:iCs/>
          <w:caps w:val="false"/>
          <w:smallCaps w:val="false"/>
          <w:strike w:val="false"/>
          <w:dstrike w:val="false"/>
          <w:color w:val="auto"/>
          <w:spacing w:val="0"/>
          <w:sz w:val="22"/>
          <w:szCs w:val="22"/>
          <w:u w:val="none"/>
          <w:shd w:fill="auto" w:val="clear"/>
          <w:lang w:val="ca-ES" w:eastAsia="es-ES" w:bidi="hi-IN"/>
        </w:rPr>
        <w:t>(Lloc, data i signatura del licitador)</w:t>
      </w:r>
      <w:r>
        <w:rPr>
          <w:rFonts w:eastAsia="Times New Roman" w:cs="Arial"/>
          <w:b/>
          <w:bCs/>
          <w:i/>
          <w:iCs/>
          <w:color w:val="auto"/>
          <w:sz w:val="22"/>
          <w:szCs w:val="22"/>
          <w:u w:val="none"/>
          <w:shd w:fill="auto" w:val="clear"/>
          <w:lang w:val="ca-ES" w:eastAsia="zh-CN" w:bidi="hi-IN"/>
        </w:rPr>
        <w:t>.</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8" w:right="1134" w:gutter="0" w:header="624" w:top="3402" w:footer="720" w:bottom="1911"/>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distT="0" distB="0" distL="0" distR="0" simplePos="0" relativeHeight="9" behindDoc="1" locked="0" layoutInCell="0" allowOverlap="1">
          <wp:simplePos x="0" y="0"/>
          <wp:positionH relativeFrom="column">
            <wp:posOffset>3493135</wp:posOffset>
          </wp:positionH>
          <wp:positionV relativeFrom="paragraph">
            <wp:posOffset>-264795</wp:posOffset>
          </wp:positionV>
          <wp:extent cx="3166745" cy="897255"/>
          <wp:effectExtent l="0" t="0" r="0" b="0"/>
          <wp:wrapSquare wrapText="largest"/>
          <wp:docPr id="3"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tge2"/>
                  <pic:cNvPicPr>
                    <a:picLocks noChangeAspect="1" noChangeArrowheads="1"/>
                  </pic:cNvPicPr>
                </pic:nvPicPr>
                <pic:blipFill>
                  <a:blip r:embed="rId1"/>
                  <a:stretch>
                    <a:fillRect/>
                  </a:stretch>
                </pic:blipFill>
                <pic:spPr bwMode="auto">
                  <a:xfrm>
                    <a:off x="0" y="0"/>
                    <a:ext cx="3166745" cy="897255"/>
                  </a:xfrm>
                  <a:prstGeom prst="rect">
                    <a:avLst/>
                  </a:prstGeom>
                  <a:noFill/>
                </pic:spPr>
              </pic:pic>
            </a:graphicData>
          </a:graphic>
        </wp:anchor>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distT="0" distB="0" distL="0" distR="0" simplePos="0" relativeHeight="9" behindDoc="1" locked="0" layoutInCell="0" allowOverlap="1">
          <wp:simplePos x="0" y="0"/>
          <wp:positionH relativeFrom="column">
            <wp:posOffset>3493135</wp:posOffset>
          </wp:positionH>
          <wp:positionV relativeFrom="paragraph">
            <wp:posOffset>-264795</wp:posOffset>
          </wp:positionV>
          <wp:extent cx="3166745" cy="897255"/>
          <wp:effectExtent l="0" t="0" r="0" b="0"/>
          <wp:wrapSquare wrapText="largest"/>
          <wp:docPr id="4"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2"/>
                  <pic:cNvPicPr>
                    <a:picLocks noChangeAspect="1" noChangeArrowheads="1"/>
                  </pic:cNvPicPr>
                </pic:nvPicPr>
                <pic:blipFill>
                  <a:blip r:embed="rId1"/>
                  <a:stretch>
                    <a:fillRect/>
                  </a:stretch>
                </pic:blipFill>
                <pic:spPr bwMode="auto">
                  <a:xfrm>
                    <a:off x="0" y="0"/>
                    <a:ext cx="3166745" cy="897255"/>
                  </a:xfrm>
                  <a:prstGeom prst="rect">
                    <a:avLst/>
                  </a:prstGeom>
                  <a:noFill/>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s-ES" w:eastAsia="es-ES"/>
      </w:rPr>
    </w:pPr>
    <w:r>
      <w:rPr>
        <w:lang w:val="es-ES" w:eastAsia="es-ES"/>
      </w:rPr>
      <w:drawing>
        <wp:anchor distT="0" distB="0" distL="0" distR="0" simplePos="0" relativeHeight="5" behindDoc="1" locked="0" layoutInCell="1" allowOverlap="1">
          <wp:simplePos x="0" y="0"/>
          <wp:positionH relativeFrom="column">
            <wp:posOffset>2295525</wp:posOffset>
          </wp:positionH>
          <wp:positionV relativeFrom="paragraph">
            <wp:posOffset>635</wp:posOffset>
          </wp:positionV>
          <wp:extent cx="4003040" cy="1335405"/>
          <wp:effectExtent l="0" t="0" r="0" b="0"/>
          <wp:wrapNone/>
          <wp:docPr id="1"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1"/>
                  <a:stretch>
                    <a:fillRect/>
                  </a:stretch>
                </pic:blipFill>
                <pic:spPr bwMode="auto">
                  <a:xfrm>
                    <a:off x="0" y="0"/>
                    <a:ext cx="4003040" cy="1335405"/>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s-ES" w:eastAsia="es-ES"/>
      </w:rPr>
    </w:pPr>
    <w:r>
      <w:rPr>
        <w:lang w:val="es-ES" w:eastAsia="es-ES"/>
      </w:rPr>
      <w:drawing>
        <wp:anchor distT="0" distB="0" distL="0" distR="0" simplePos="0" relativeHeight="5" behindDoc="1" locked="0" layoutInCell="1" allowOverlap="1">
          <wp:simplePos x="0" y="0"/>
          <wp:positionH relativeFrom="column">
            <wp:posOffset>2295525</wp:posOffset>
          </wp:positionH>
          <wp:positionV relativeFrom="paragraph">
            <wp:posOffset>635</wp:posOffset>
          </wp:positionV>
          <wp:extent cx="4003040" cy="1335405"/>
          <wp:effectExtent l="0" t="0" r="0" b="0"/>
          <wp:wrapNone/>
          <wp:docPr id="2"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1"/>
                  <pic:cNvPicPr>
                    <a:picLocks noChangeAspect="1" noChangeArrowheads="1"/>
                  </pic:cNvPicPr>
                </pic:nvPicPr>
                <pic:blipFill>
                  <a:blip r:embed="rId1"/>
                  <a:stretch>
                    <a:fillRect/>
                  </a:stretch>
                </pic:blipFill>
                <pic:spPr bwMode="auto">
                  <a:xfrm>
                    <a:off x="0" y="0"/>
                    <a:ext cx="4003040" cy="133540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432" w:hanging="432"/>
      </w:pPr>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1152" w:hanging="1152"/>
      </w:pPr>
      <w:rPr/>
    </w:lvl>
    <w:lvl w:ilvl="6">
      <w:start w:val="1"/>
      <w:numFmt w:val="none"/>
      <w:suff w:val="nothing"/>
      <w:lvlText w:val="%7"/>
      <w:lvlJc w:val="left"/>
      <w:pPr>
        <w:tabs>
          <w:tab w:val="num" w:pos="0"/>
        </w:tabs>
        <w:ind w:left="1296" w:hanging="1296"/>
      </w:pPr>
      <w:rPr/>
    </w:lvl>
    <w:lvl w:ilvl="7">
      <w:start w:val="1"/>
      <w:numFmt w:val="none"/>
      <w:suff w:val="nothing"/>
      <w:lvlText w:val="%8"/>
      <w:lvlJc w:val="left"/>
      <w:pPr>
        <w:tabs>
          <w:tab w:val="num" w:pos="0"/>
        </w:tabs>
        <w:ind w:left="1440" w:hanging="1440"/>
      </w:pPr>
      <w:rPr/>
    </w:lvl>
    <w:lvl w:ilvl="8">
      <w:start w:val="1"/>
      <w:numFmt w:val="none"/>
      <w:suff w:val="nothing"/>
      <w:lvlText w:val="%9"/>
      <w:lvlJc w:val="left"/>
      <w:pPr>
        <w:tabs>
          <w:tab w:val="num" w:pos="0"/>
        </w:tabs>
        <w:ind w:left="1584" w:hanging="1584"/>
      </w:pPr>
      <w:rPr/>
    </w:lvl>
  </w:abstractNum>
  <w:abstractNum w:abstractNumId="2">
    <w:lvl w:ilvl="0">
      <w:start w:val="1"/>
      <w:numFmt w:val="none"/>
      <w:suff w:val="nothing"/>
      <w:lvlText w:val="%1"/>
      <w:lvlJc w:val="left"/>
      <w:pPr>
        <w:tabs>
          <w:tab w:val="num" w:pos="0"/>
        </w:tabs>
        <w:ind w:left="624" w:hanging="624"/>
      </w:pPr>
      <w:rPr>
        <w:rFonts w:ascii="Arial" w:hAnsi="Arial"/>
        <w:color w:val="auto"/>
        <w:sz w:val="22"/>
        <w:szCs w:val="22"/>
      </w:rPr>
    </w:lvl>
    <w:lvl w:ilvl="1">
      <w:start w:val="1"/>
      <w:numFmt w:val="bullet"/>
      <w:lvlText w:val=""/>
      <w:lvlJc w:val="left"/>
      <w:pPr>
        <w:tabs>
          <w:tab w:val="num" w:pos="85"/>
        </w:tabs>
        <w:ind w:left="1026" w:hanging="969"/>
      </w:pPr>
      <w:rPr>
        <w:rFonts w:ascii="Symbol" w:hAnsi="Symbol" w:cs="Symbol" w:hint="default"/>
        <w:color w:val="auto"/>
        <w:sz w:val="22"/>
        <w:szCs w:val="22"/>
      </w:rPr>
    </w:lvl>
    <w:lvl w:ilvl="2">
      <w:start w:val="1"/>
      <w:numFmt w:val="bullet"/>
      <w:lvlText w:val=""/>
      <w:lvlJc w:val="left"/>
      <w:pPr>
        <w:tabs>
          <w:tab w:val="num" w:pos="85"/>
        </w:tabs>
        <w:ind w:left="1026" w:hanging="969"/>
      </w:pPr>
      <w:rPr>
        <w:rFonts w:ascii="Symbol" w:hAnsi="Symbol" w:cs="Symbol" w:hint="default"/>
        <w:color w:val="auto"/>
        <w:sz w:val="22"/>
        <w:szCs w:val="22"/>
      </w:rPr>
    </w:lvl>
    <w:lvl w:ilvl="3">
      <w:start w:val="1"/>
      <w:numFmt w:val="bullet"/>
      <w:lvlText w:val=""/>
      <w:lvlJc w:val="left"/>
      <w:pPr>
        <w:tabs>
          <w:tab w:val="num" w:pos="85"/>
        </w:tabs>
        <w:ind w:left="1026" w:hanging="969"/>
      </w:pPr>
      <w:rPr>
        <w:rFonts w:ascii="Symbol" w:hAnsi="Symbol" w:cs="Symbol" w:hint="default"/>
        <w:color w:val="auto"/>
        <w:sz w:val="22"/>
        <w:szCs w:val="22"/>
      </w:rPr>
    </w:lvl>
    <w:lvl w:ilvl="4">
      <w:start w:val="1"/>
      <w:numFmt w:val="bullet"/>
      <w:lvlText w:val=""/>
      <w:lvlJc w:val="left"/>
      <w:pPr>
        <w:tabs>
          <w:tab w:val="num" w:pos="85"/>
        </w:tabs>
        <w:ind w:left="1026" w:hanging="969"/>
      </w:pPr>
      <w:rPr>
        <w:rFonts w:ascii="Symbol" w:hAnsi="Symbol" w:cs="Symbol" w:hint="default"/>
        <w:color w:val="auto"/>
        <w:sz w:val="22"/>
        <w:szCs w:val="22"/>
      </w:rPr>
    </w:lvl>
    <w:lvl w:ilvl="5">
      <w:start w:val="1"/>
      <w:numFmt w:val="bullet"/>
      <w:lvlText w:val=""/>
      <w:lvlJc w:val="left"/>
      <w:pPr>
        <w:tabs>
          <w:tab w:val="num" w:pos="85"/>
        </w:tabs>
        <w:ind w:left="1026" w:hanging="969"/>
      </w:pPr>
      <w:rPr>
        <w:rFonts w:ascii="Symbol" w:hAnsi="Symbol" w:cs="Symbol" w:hint="default"/>
        <w:color w:val="auto"/>
        <w:sz w:val="22"/>
        <w:szCs w:val="22"/>
      </w:rPr>
    </w:lvl>
    <w:lvl w:ilvl="6">
      <w:start w:val="1"/>
      <w:numFmt w:val="bullet"/>
      <w:lvlText w:val=""/>
      <w:lvlJc w:val="left"/>
      <w:pPr>
        <w:tabs>
          <w:tab w:val="num" w:pos="85"/>
        </w:tabs>
        <w:ind w:left="1026" w:hanging="969"/>
      </w:pPr>
      <w:rPr>
        <w:rFonts w:ascii="Symbol" w:hAnsi="Symbol" w:cs="Symbol" w:hint="default"/>
        <w:color w:val="auto"/>
        <w:sz w:val="22"/>
        <w:szCs w:val="22"/>
      </w:rPr>
    </w:lvl>
    <w:lvl w:ilvl="7">
      <w:start w:val="1"/>
      <w:numFmt w:val="bullet"/>
      <w:lvlText w:val=""/>
      <w:lvlJc w:val="left"/>
      <w:pPr>
        <w:tabs>
          <w:tab w:val="num" w:pos="85"/>
        </w:tabs>
        <w:ind w:left="1026" w:hanging="969"/>
      </w:pPr>
      <w:rPr>
        <w:rFonts w:ascii="Symbol" w:hAnsi="Symbol" w:cs="Symbol" w:hint="default"/>
        <w:color w:val="auto"/>
        <w:sz w:val="22"/>
        <w:szCs w:val="22"/>
      </w:rPr>
    </w:lvl>
    <w:lvl w:ilvl="8">
      <w:start w:val="1"/>
      <w:numFmt w:val="bullet"/>
      <w:lvlText w:val=""/>
      <w:lvlJc w:val="left"/>
      <w:pPr>
        <w:tabs>
          <w:tab w:val="num" w:pos="85"/>
        </w:tabs>
        <w:ind w:left="1026" w:hanging="969"/>
      </w:pPr>
      <w:rPr>
        <w:rFonts w:ascii="Symbol" w:hAnsi="Symbol" w:cs="Symbol" w:hint="default"/>
        <w:color w:val="auto"/>
        <w:sz w:val="22"/>
        <w:szCs w:val="22"/>
      </w:rPr>
    </w:lvl>
  </w:abstractNum>
  <w:abstractNum w:abstractNumId="3">
    <w:lvl w:ilvl="0">
      <w:start w:val="1"/>
      <w:numFmt w:val="none"/>
      <w:suff w:val="nothing"/>
      <w:lvlText w:val="%1"/>
      <w:lvlJc w:val="left"/>
      <w:pPr>
        <w:tabs>
          <w:tab w:val="num" w:pos="85"/>
        </w:tabs>
        <w:ind w:left="624" w:hanging="624"/>
      </w:pPr>
      <w:rPr>
        <w:rFonts w:ascii="Arial" w:hAnsi="Arial"/>
        <w:color w:val="auto"/>
        <w:sz w:val="22"/>
        <w:szCs w:val="22"/>
      </w:rPr>
    </w:lvl>
    <w:lvl w:ilvl="1">
      <w:start w:val="1"/>
      <w:numFmt w:val="bullet"/>
      <w:lvlText w:val=""/>
      <w:lvlJc w:val="left"/>
      <w:pPr>
        <w:tabs>
          <w:tab w:val="num" w:pos="85"/>
        </w:tabs>
        <w:ind w:left="1026" w:hanging="969"/>
      </w:pPr>
      <w:rPr>
        <w:rFonts w:ascii="Symbol" w:hAnsi="Symbol" w:cs="Symbol" w:hint="default"/>
        <w:color w:val="auto"/>
        <w:sz w:val="22"/>
        <w:szCs w:val="22"/>
      </w:rPr>
    </w:lvl>
    <w:lvl w:ilvl="2">
      <w:start w:val="1"/>
      <w:numFmt w:val="bullet"/>
      <w:lvlText w:val=""/>
      <w:lvlJc w:val="left"/>
      <w:pPr>
        <w:tabs>
          <w:tab w:val="num" w:pos="85"/>
        </w:tabs>
        <w:ind w:left="1026" w:hanging="969"/>
      </w:pPr>
      <w:rPr>
        <w:rFonts w:ascii="Symbol" w:hAnsi="Symbol" w:cs="Symbol" w:hint="default"/>
        <w:color w:val="auto"/>
        <w:sz w:val="22"/>
        <w:szCs w:val="22"/>
      </w:rPr>
    </w:lvl>
    <w:lvl w:ilvl="3">
      <w:start w:val="1"/>
      <w:numFmt w:val="bullet"/>
      <w:lvlText w:val=""/>
      <w:lvlJc w:val="left"/>
      <w:pPr>
        <w:tabs>
          <w:tab w:val="num" w:pos="85"/>
        </w:tabs>
        <w:ind w:left="1026" w:hanging="969"/>
      </w:pPr>
      <w:rPr>
        <w:rFonts w:ascii="Symbol" w:hAnsi="Symbol" w:cs="Symbol" w:hint="default"/>
        <w:color w:val="auto"/>
        <w:sz w:val="22"/>
        <w:szCs w:val="22"/>
      </w:rPr>
    </w:lvl>
    <w:lvl w:ilvl="4">
      <w:start w:val="1"/>
      <w:numFmt w:val="bullet"/>
      <w:lvlText w:val=""/>
      <w:lvlJc w:val="left"/>
      <w:pPr>
        <w:tabs>
          <w:tab w:val="num" w:pos="85"/>
        </w:tabs>
        <w:ind w:left="1026" w:hanging="969"/>
      </w:pPr>
      <w:rPr>
        <w:rFonts w:ascii="Symbol" w:hAnsi="Symbol" w:cs="Symbol" w:hint="default"/>
        <w:color w:val="auto"/>
        <w:sz w:val="22"/>
        <w:szCs w:val="22"/>
      </w:rPr>
    </w:lvl>
    <w:lvl w:ilvl="5">
      <w:start w:val="1"/>
      <w:numFmt w:val="bullet"/>
      <w:lvlText w:val=""/>
      <w:lvlJc w:val="left"/>
      <w:pPr>
        <w:tabs>
          <w:tab w:val="num" w:pos="85"/>
        </w:tabs>
        <w:ind w:left="1026" w:hanging="969"/>
      </w:pPr>
      <w:rPr>
        <w:rFonts w:ascii="Symbol" w:hAnsi="Symbol" w:cs="Symbol" w:hint="default"/>
        <w:color w:val="auto"/>
        <w:sz w:val="22"/>
        <w:szCs w:val="22"/>
      </w:rPr>
    </w:lvl>
    <w:lvl w:ilvl="6">
      <w:start w:val="1"/>
      <w:numFmt w:val="bullet"/>
      <w:lvlText w:val=""/>
      <w:lvlJc w:val="left"/>
      <w:pPr>
        <w:tabs>
          <w:tab w:val="num" w:pos="85"/>
        </w:tabs>
        <w:ind w:left="1026" w:hanging="969"/>
      </w:pPr>
      <w:rPr>
        <w:rFonts w:ascii="Symbol" w:hAnsi="Symbol" w:cs="Symbol" w:hint="default"/>
        <w:color w:val="auto"/>
        <w:sz w:val="22"/>
        <w:szCs w:val="22"/>
      </w:rPr>
    </w:lvl>
    <w:lvl w:ilvl="7">
      <w:start w:val="1"/>
      <w:numFmt w:val="bullet"/>
      <w:lvlText w:val=""/>
      <w:lvlJc w:val="left"/>
      <w:pPr>
        <w:tabs>
          <w:tab w:val="num" w:pos="85"/>
        </w:tabs>
        <w:ind w:left="1026" w:hanging="969"/>
      </w:pPr>
      <w:rPr>
        <w:rFonts w:ascii="Symbol" w:hAnsi="Symbol" w:cs="Symbol" w:hint="default"/>
        <w:color w:val="auto"/>
        <w:sz w:val="22"/>
        <w:szCs w:val="22"/>
      </w:rPr>
    </w:lvl>
    <w:lvl w:ilvl="8">
      <w:start w:val="1"/>
      <w:numFmt w:val="bullet"/>
      <w:lvlText w:val=""/>
      <w:lvlJc w:val="left"/>
      <w:pPr>
        <w:tabs>
          <w:tab w:val="num" w:pos="85"/>
        </w:tabs>
        <w:ind w:left="1026" w:hanging="969"/>
      </w:pPr>
      <w:rPr>
        <w:rFonts w:ascii="Symbol" w:hAnsi="Symbol" w:cs="Symbol" w:hint="default"/>
        <w:color w:val="auto"/>
        <w:sz w:val="22"/>
        <w:szCs w:val="22"/>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mirrorMargins/>
  <w:defaultTabStop w:val="720"/>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Arial Unicode MS"/>
        <w:sz w:val="24"/>
        <w:szCs w:val="24"/>
        <w:lang w:val="es-E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0"/>
      <w:lang w:val="ca-ES" w:eastAsia="zh-CN" w:bidi="hi-IN"/>
    </w:rPr>
  </w:style>
  <w:style w:type="paragraph" w:styleId="Heading1">
    <w:name w:val="heading 1"/>
    <w:basedOn w:val="Normal"/>
    <w:next w:val="Normal"/>
    <w:qFormat/>
    <w:pPr>
      <w:keepNext w:val="true"/>
      <w:numPr>
        <w:ilvl w:val="0"/>
        <w:numId w:val="1"/>
      </w:numPr>
      <w:jc w:val="center"/>
      <w:outlineLvl w:val="0"/>
    </w:pPr>
    <w:rPr>
      <w:u w:val="single"/>
      <w:lang w:val="ca-ES"/>
    </w:rPr>
  </w:style>
  <w:style w:type="character" w:styleId="Fuentedeprrafopredeter">
    <w:name w:val="Fuente de párrafo predeter."/>
    <w:qFormat/>
    <w:rPr/>
  </w:style>
  <w:style w:type="character" w:styleId="WW8Num2z0">
    <w:name w:val="WW8Num2z0"/>
    <w:qFormat/>
    <w:rPr>
      <w:rFonts w:ascii="Arial" w:hAnsi="Arial" w:cs="Arial"/>
      <w:b/>
      <w:bCs/>
      <w:i w:val="false"/>
      <w:iCs w:val="false"/>
      <w:color w:val="auto"/>
      <w:sz w:val="18"/>
      <w:szCs w:val="18"/>
      <w:lang w:val="ca-E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Hyperlink">
    <w:name w:val="Hyperlink"/>
    <w:rPr>
      <w:color w:val="000080"/>
      <w:u w:val="single"/>
      <w:lang w:val="zxx" w:eastAsia="zxx" w:bidi="zxx"/>
    </w:rPr>
  </w:style>
  <w:style w:type="character" w:styleId="Fuentedeprrafopredeter1">
    <w:name w:val="Fuente de párrafo predeter.1"/>
    <w:qFormat/>
    <w:rPr/>
  </w:style>
  <w:style w:type="character" w:styleId="Smbolsdenumeraciuser">
    <w:name w:val="Símbols de numeració (user)"/>
    <w:qFormat/>
    <w:rPr>
      <w:rFonts w:ascii="Arial" w:hAnsi="Arial"/>
      <w:color w:val="auto"/>
      <w:sz w:val="22"/>
      <w:szCs w:val="22"/>
    </w:rPr>
  </w:style>
  <w:style w:type="character" w:styleId="Smbolsdenumeraci">
    <w:name w:val="Símbols de numeració"/>
    <w:qFormat/>
    <w:rPr>
      <w:rFonts w:ascii="Arial" w:hAnsi="Arial"/>
      <w:color w:val="auto"/>
      <w:sz w:val="22"/>
      <w:szCs w:val="22"/>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ndex">
    <w:name w:val="Índex"/>
    <w:basedOn w:val="Normal"/>
    <w:qFormat/>
    <w:pPr>
      <w:suppressLineNumbers/>
    </w:pPr>
    <w:rPr>
      <w:rFonts w:cs="Arial"/>
    </w:rPr>
  </w:style>
  <w:style w:type="paragraph" w:styleId="Encapalamentuser">
    <w:name w:val="Encapçalament (user)"/>
    <w:basedOn w:val="Normal"/>
    <w:next w:val="BodyText"/>
    <w:qFormat/>
    <w:pPr>
      <w:keepNext w:val="true"/>
      <w:spacing w:before="240" w:after="120"/>
    </w:pPr>
    <w:rPr>
      <w:rFonts w:ascii="Arial" w:hAnsi="Arial" w:eastAsia="Arial Unicode MS" w:cs="Arial Unicode MS"/>
      <w:sz w:val="28"/>
      <w:szCs w:val="28"/>
    </w:rPr>
  </w:style>
  <w:style w:type="paragraph" w:styleId="ndexuser">
    <w:name w:val="Índex (user)"/>
    <w:basedOn w:val="Normal"/>
    <w:qFormat/>
    <w:pPr>
      <w:suppressLineNumbers/>
    </w:pPr>
    <w:rPr/>
  </w:style>
  <w:style w:type="paragraph" w:styleId="Capaleraipeudepginauser">
    <w:name w:val="Capçalera i peu de pàgina (user)"/>
    <w:basedOn w:val="Normal"/>
    <w:qFormat/>
    <w:pPr>
      <w:suppressLineNumbers/>
      <w:tabs>
        <w:tab w:val="clear" w:pos="720"/>
        <w:tab w:val="center" w:pos="4819" w:leader="none"/>
        <w:tab w:val="right" w:pos="9638" w:leader="none"/>
      </w:tabs>
    </w:pPr>
    <w:rPr/>
  </w:style>
  <w:style w:type="paragraph" w:styleId="Capaleraipeudepgina">
    <w:name w:val="Capçalera i peu de pàgina"/>
    <w:basedOn w:val="Normal"/>
    <w:qFormat/>
    <w:pPr/>
    <w:rPr/>
  </w:style>
  <w:style w:type="paragraph" w:styleId="Header">
    <w:name w:val="header"/>
    <w:basedOn w:val="Normal"/>
    <w:pPr>
      <w:tabs>
        <w:tab w:val="clear" w:pos="720"/>
        <w:tab w:val="center" w:pos="4252" w:leader="none"/>
        <w:tab w:val="right" w:pos="8504" w:leader="none"/>
      </w:tabs>
    </w:pPr>
    <w:rPr/>
  </w:style>
  <w:style w:type="paragraph" w:styleId="Footer">
    <w:name w:val="footer"/>
    <w:basedOn w:val="Normal"/>
    <w:pPr>
      <w:tabs>
        <w:tab w:val="clear" w:pos="720"/>
        <w:tab w:val="center" w:pos="4252" w:leader="none"/>
        <w:tab w:val="right" w:pos="8504" w:leader="none"/>
      </w:tabs>
    </w:pPr>
    <w:rPr/>
  </w:style>
  <w:style w:type="paragraph" w:styleId="Textoindependiente2">
    <w:name w:val="Texto independiente 2"/>
    <w:basedOn w:val="Normal"/>
    <w:qFormat/>
    <w:pPr>
      <w:jc w:val="both"/>
    </w:pPr>
    <w:rPr>
      <w:rFonts w:ascii="Arial" w:hAnsi="Arial" w:cs="Arial"/>
      <w:sz w:val="22"/>
      <w:lang w:val="ca-ES"/>
    </w:rPr>
  </w:style>
  <w:style w:type="paragraph" w:styleId="Title">
    <w:name w:val="Title"/>
    <w:basedOn w:val="Normal"/>
    <w:next w:val="Subtitle"/>
    <w:qFormat/>
    <w:pPr>
      <w:tabs>
        <w:tab w:val="clear" w:pos="720"/>
        <w:tab w:val="left" w:pos="576" w:leader="none"/>
        <w:tab w:val="left" w:pos="1296" w:leader="none"/>
        <w:tab w:val="left" w:pos="2016" w:leader="none"/>
        <w:tab w:val="left" w:pos="2736" w:leader="none"/>
        <w:tab w:val="left" w:pos="3456" w:leader="none"/>
        <w:tab w:val="left" w:pos="4176" w:leader="none"/>
      </w:tabs>
      <w:suppressAutoHyphens w:val="true"/>
      <w:jc w:val="center"/>
    </w:pPr>
    <w:rPr>
      <w:rFonts w:ascii="Arial" w:hAnsi="Arial" w:cs="Arial"/>
      <w:b/>
      <w:spacing w:val="-3"/>
      <w:sz w:val="24"/>
    </w:rPr>
  </w:style>
  <w:style w:type="paragraph" w:styleId="Subtitle">
    <w:name w:val="Subtitle"/>
    <w:basedOn w:val="Encapalamentuser"/>
    <w:next w:val="BodyText"/>
    <w:qFormat/>
    <w:pPr>
      <w:jc w:val="center"/>
    </w:pPr>
    <w:rPr>
      <w:i/>
      <w:iCs/>
      <w:sz w:val="28"/>
      <w:szCs w:val="28"/>
    </w:rPr>
  </w:style>
  <w:style w:type="paragraph" w:styleId="TOC1">
    <w:name w:val="toc 1"/>
    <w:basedOn w:val="ndexuser"/>
    <w:pPr>
      <w:widowControl/>
      <w:numPr>
        <w:ilvl w:val="0"/>
        <w:numId w:val="2"/>
      </w:numPr>
      <w:tabs>
        <w:tab w:val="clear" w:pos="720"/>
        <w:tab w:val="right" w:pos="9638" w:leader="dot"/>
      </w:tabs>
      <w:bidi w:val="0"/>
      <w:spacing w:lineRule="exact" w:line="340" w:before="0" w:after="0"/>
      <w:ind w:hanging="624" w:left="624" w:right="0"/>
      <w:contextualSpacing/>
      <w:outlineLvl w:val="0"/>
    </w:pPr>
    <w:rPr>
      <w:rFonts w:ascii="Arial" w:hAnsi="Arial"/>
      <w:b w:val="false"/>
      <w:sz w:val="22"/>
    </w:rPr>
  </w:style>
  <w:style w:type="numbering" w:styleId="WW8Num2">
    <w:name w:val="WW8Num2"/>
    <w:qFormat/>
  </w:style>
  <w:style w:type="numbering" w:styleId="Picuser">
    <w:name w:val="Pic – (user)"/>
    <w:qFormat/>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2.png"/>
</Relationships>
</file>

<file path=word/_rels/footer3.xml.rels><?xml version="1.0" encoding="UTF-8"?>
<Relationships xmlns="http://schemas.openxmlformats.org/package/2006/relationships"><Relationship Id="rId1" Type="http://schemas.openxmlformats.org/officeDocument/2006/relationships/image" Target="media/image2.png"/>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AJUNTAMENT</Template>
  <TotalTime>0</TotalTime>
  <Application>LibreOffice/26.2.4.2$Windows_X86_64 LibreOffice_project/0229ac93fcf0d7cbc6376066c6f35021cef002dc</Application>
  <AppVersion>15.0000</AppVersion>
  <Pages>4</Pages>
  <Words>1081</Words>
  <Characters>6229</Characters>
  <CharactersWithSpaces>7311</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2026-07-31T11:48:35Z</dcterms:created>
  <dc:creator/>
  <dc:description/>
  <dc:language>es-ES</dc:language>
  <cp:lastModifiedBy/>
  <dcterms:modified xsi:type="dcterms:W3CDTF">2026-07-31T11:50:04Z</dcterms:modified>
  <cp:revision>3</cp:revision>
  <dc:subject/>
  <dc:title>AJUNTAMENT</dc:title>
</cp:coreProperties>
</file>

<file path=docProps/custom.xml><?xml version="1.0" encoding="utf-8"?>
<Properties xmlns="http://schemas.openxmlformats.org/officeDocument/2006/custom-properties" xmlns:vt="http://schemas.openxmlformats.org/officeDocument/2006/docPropsVTypes"/>
</file>