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both"/>
        <w:rPr>
          <w:rFonts w:ascii="Arial" w:hAnsi="Arial"/>
          <w:sz w:val="22"/>
          <w:szCs w:val="22"/>
        </w:rPr>
      </w:pPr>
      <w:r>
        <w:rPr>
          <w:rFonts w:eastAsia="Arial" w:cs="Arial" w:ascii="Arial" w:hAnsi="Arial"/>
          <w:b/>
          <w:bCs/>
          <w:i/>
          <w:iCs/>
          <w:color w:val="000000"/>
          <w:sz w:val="22"/>
          <w:szCs w:val="22"/>
          <w:u w:val="none"/>
          <w:lang w:val="ca-ES"/>
        </w:rPr>
        <w:t xml:space="preserve">Exp. 20.../...: Documentació administrativa per participar en el procediment obert simplificat abreujat (sumari) per a la contractació del servei ................................. , presentada per ................................." </w:t>
      </w:r>
    </w:p>
    <w:p>
      <w:pPr>
        <w:pStyle w:val="Normal"/>
        <w:spacing w:lineRule="auto" w:line="276"/>
        <w:jc w:val="both"/>
        <w:rPr>
          <w:rFonts w:ascii="Arial" w:hAnsi="Arial" w:eastAsia="Arial" w:cs="Arial"/>
          <w:b/>
          <w:bCs/>
          <w:color w:val="000000"/>
          <w:sz w:val="22"/>
          <w:szCs w:val="22"/>
          <w:u w:val="none"/>
          <w:lang w:val="ca-ES"/>
        </w:rPr>
      </w:pPr>
      <w:r>
        <w:rPr>
          <w:rFonts w:eastAsia="Arial" w:cs="Arial" w:ascii="Arial" w:hAnsi="Arial"/>
          <w:b/>
          <w:bCs/>
          <w:color w:val="000000"/>
          <w:sz w:val="22"/>
          <w:szCs w:val="22"/>
          <w:u w:val="none"/>
          <w:lang w:val="ca-ES"/>
        </w:rPr>
      </w:r>
    </w:p>
    <w:p>
      <w:pPr>
        <w:pStyle w:val="Normal"/>
        <w:numPr>
          <w:ilvl w:val="0"/>
          <w:numId w:val="2"/>
        </w:numPr>
        <w:spacing w:lineRule="auto" w:line="276"/>
        <w:ind w:hanging="0" w:left="0" w:right="0"/>
        <w:jc w:val="both"/>
        <w:rPr>
          <w:rFonts w:ascii="Arial" w:hAnsi="Arial"/>
          <w:sz w:val="22"/>
          <w:szCs w:val="22"/>
        </w:rPr>
      </w:pPr>
      <w:r>
        <w:rPr>
          <w:rFonts w:eastAsia="Arial" w:cs="Arial" w:ascii="Arial" w:hAnsi="Arial"/>
          <w:b w:val="false"/>
          <w:i/>
          <w:color w:val="000000"/>
          <w:sz w:val="22"/>
          <w:szCs w:val="22"/>
          <w:highlight w:val="white"/>
          <w:lang w:val="ca-ES"/>
        </w:rPr>
        <w:t>“</w:t>
      </w:r>
      <w:r>
        <w:rPr>
          <w:rFonts w:eastAsia="Arial" w:cs="Arial" w:ascii="Arial" w:hAnsi="Arial"/>
          <w:b w:val="false"/>
          <w:i/>
          <w:color w:val="000000"/>
          <w:sz w:val="22"/>
          <w:szCs w:val="22"/>
          <w:highlight w:val="white"/>
          <w:lang w:val="ca-ES"/>
        </w:rPr>
        <w:t xml:space="preserve">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 </w:t>
      </w:r>
      <w:r>
        <w:rPr>
          <w:rFonts w:eastAsia="Arial" w:cs="Arial" w:ascii="Arial" w:hAnsi="Arial"/>
          <w:b w:val="false"/>
          <w:bCs w:val="false"/>
          <w:i/>
          <w:color w:val="000000"/>
          <w:sz w:val="22"/>
          <w:szCs w:val="22"/>
          <w:u w:val="none"/>
          <w:lang w:val="ca-ES"/>
        </w:rPr>
        <w:t>la contracta</w:t>
      </w:r>
      <w:r>
        <w:rPr>
          <w:rFonts w:eastAsia="Arial" w:cs="Arial" w:ascii="Arial" w:hAnsi="Arial"/>
          <w:b w:val="false"/>
          <w:bCs w:val="false"/>
          <w:i/>
          <w:color w:val="000000"/>
          <w:sz w:val="22"/>
          <w:szCs w:val="22"/>
          <w:highlight w:val="white"/>
          <w:u w:val="none"/>
          <w:lang w:val="ca-ES"/>
        </w:rPr>
        <w:t>ci</w:t>
      </w:r>
      <w:r>
        <w:rPr>
          <w:rFonts w:eastAsia="Arial" w:cs="Arial" w:ascii="Arial" w:hAnsi="Arial"/>
          <w:b w:val="false"/>
          <w:i/>
          <w:color w:val="000000"/>
          <w:sz w:val="22"/>
          <w:szCs w:val="22"/>
          <w:highlight w:val="white"/>
          <w:u w:val="none"/>
          <w:lang w:val="ca-ES"/>
        </w:rPr>
        <w:t xml:space="preserve">ó </w:t>
      </w:r>
      <w:r>
        <w:rPr>
          <w:rFonts w:eastAsia="Arial" w:cs="Arial" w:ascii="Arial" w:hAnsi="Arial"/>
          <w:b w:val="false"/>
          <w:bCs w:val="false"/>
          <w:i/>
          <w:color w:val="000000"/>
          <w:sz w:val="22"/>
          <w:szCs w:val="22"/>
          <w:highlight w:val="white"/>
          <w:u w:val="none"/>
          <w:lang w:val="ca-ES"/>
        </w:rPr>
        <w:t xml:space="preserve">del servei ...................................................... </w:t>
      </w:r>
      <w:r>
        <w:rPr>
          <w:rFonts w:eastAsia="Arial" w:cs="Arial" w:ascii="Arial" w:hAnsi="Arial"/>
          <w:b/>
          <w:bCs/>
          <w:i/>
          <w:iCs/>
          <w:color w:val="000000"/>
          <w:sz w:val="22"/>
          <w:szCs w:val="22"/>
          <w:highlight w:val="white"/>
          <w:u w:val="none"/>
          <w:lang w:val="ca-ES"/>
        </w:rPr>
        <w:t xml:space="preserve"> </w:t>
      </w:r>
      <w:r>
        <w:rPr>
          <w:rFonts w:eastAsia="Arial" w:cs="Arial" w:ascii="Arial" w:hAnsi="Arial"/>
          <w:b w:val="false"/>
          <w:i/>
          <w:iCs/>
          <w:color w:val="000000"/>
          <w:sz w:val="22"/>
          <w:szCs w:val="22"/>
          <w:highlight w:val="white"/>
          <w:u w:val="none"/>
          <w:lang w:val="ca-ES"/>
        </w:rPr>
        <w:t xml:space="preserve">i </w:t>
      </w:r>
      <w:r>
        <w:rPr>
          <w:rFonts w:eastAsia="Arial" w:cs="Arial" w:ascii="Arial" w:hAnsi="Arial"/>
          <w:b w:val="false"/>
          <w:i/>
          <w:color w:val="000000"/>
          <w:sz w:val="22"/>
          <w:szCs w:val="22"/>
          <w:highlight w:val="white"/>
          <w:lang w:val="ca-ES"/>
        </w:rPr>
        <w:t xml:space="preserve"> </w:t>
      </w:r>
    </w:p>
    <w:p>
      <w:pPr>
        <w:pStyle w:val="Normal"/>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Normal"/>
        <w:spacing w:lineRule="auto" w:line="276"/>
        <w:jc w:val="both"/>
        <w:rPr>
          <w:rFonts w:ascii="Arial" w:hAnsi="Arial"/>
          <w:sz w:val="22"/>
          <w:szCs w:val="22"/>
        </w:rPr>
      </w:pPr>
      <w:r>
        <w:rPr>
          <w:rFonts w:ascii="Arial" w:hAnsi="Arial"/>
          <w:b/>
          <w:bCs/>
          <w:i/>
          <w:iCs/>
          <w:color w:val="000000"/>
          <w:sz w:val="22"/>
          <w:szCs w:val="22"/>
          <w:lang w:val="ca-ES"/>
        </w:rPr>
        <w:t>DECLARA RESPONSABLEMENT:</w:t>
      </w:r>
    </w:p>
    <w:p>
      <w:pPr>
        <w:pStyle w:val="Normal"/>
        <w:numPr>
          <w:ilvl w:val="0"/>
          <w:numId w:val="2"/>
        </w:numPr>
        <w:spacing w:lineRule="auto" w:line="276" w:before="0" w:after="0"/>
        <w:ind w:hanging="0" w:left="0" w:right="0"/>
        <w:jc w:val="both"/>
        <w:rPr>
          <w:rFonts w:ascii="Arial" w:hAnsi="Arial"/>
          <w:sz w:val="22"/>
          <w:szCs w:val="22"/>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 per participar a la licitació i no incorre en cap de les prohibicions de contractar</w:t>
      </w:r>
      <w:r>
        <w:rPr>
          <w:rFonts w:ascii="Arial" w:hAnsi="Arial"/>
          <w:i/>
          <w:iCs/>
          <w:color w:val="000000"/>
          <w:sz w:val="22"/>
          <w:szCs w:val="22"/>
          <w:lang w:val="ca-ES"/>
        </w:rPr>
        <w:t xml:space="preserve"> amb l'Administració. </w:t>
      </w:r>
    </w:p>
    <w:p>
      <w:pPr>
        <w:pStyle w:val="Normal"/>
        <w:numPr>
          <w:ilvl w:val="0"/>
          <w:numId w:val="2"/>
        </w:numPr>
        <w:spacing w:lineRule="auto" w:line="276" w:before="0" w:after="0"/>
        <w:ind w:hanging="0" w:left="0" w:right="0"/>
        <w:jc w:val="both"/>
        <w:rPr>
          <w:rFonts w:ascii="Arial" w:hAnsi="Arial" w:eastAsia="Helv" w:cs="Helv"/>
          <w:b w:val="false"/>
          <w:i/>
          <w:iCs/>
          <w:color w:val="auto"/>
          <w:sz w:val="22"/>
          <w:szCs w:val="22"/>
          <w:u w:val="none"/>
          <w:lang w:val="ca-ES"/>
        </w:rPr>
      </w:pPr>
      <w:r>
        <w:rPr>
          <w:rFonts w:eastAsia="Helv" w:cs="Helv" w:ascii="Arial" w:hAnsi="Arial"/>
          <w:b w:val="false"/>
          <w:i/>
          <w:iCs/>
          <w:color w:val="auto"/>
          <w:sz w:val="22"/>
          <w:szCs w:val="22"/>
          <w:u w:val="none"/>
          <w:lang w:val="ca-ES"/>
        </w:rPr>
      </w:r>
    </w:p>
    <w:p>
      <w:pPr>
        <w:pStyle w:val="Normal"/>
        <w:numPr>
          <w:ilvl w:val="0"/>
          <w:numId w:val="2"/>
        </w:numPr>
        <w:spacing w:lineRule="auto" w:line="276" w:before="0" w:after="0"/>
        <w:ind w:hanging="0" w:left="0" w:right="0"/>
        <w:jc w:val="both"/>
        <w:rPr>
          <w:rFonts w:ascii="Arial" w:hAnsi="Arial"/>
          <w:sz w:val="22"/>
          <w:szCs w:val="22"/>
        </w:rPr>
      </w:pPr>
      <w:r>
        <w:rPr>
          <w:rFonts w:eastAsia="Helv" w:cs="Helv" w:ascii="Arial" w:hAnsi="Arial"/>
          <w:b w:val="false"/>
          <w:i/>
          <w:iCs/>
          <w:color w:val="auto"/>
          <w:sz w:val="22"/>
          <w:szCs w:val="22"/>
          <w:u w:val="none"/>
          <w:lang w:val="ca-ES"/>
        </w:rPr>
        <w:t xml:space="preserve">2- Que </w:t>
      </w:r>
      <w:r>
        <w:rPr>
          <w:rFonts w:eastAsia="Helv" w:cs="Helv" w:ascii="Arial" w:hAnsi="Arial"/>
          <w:b w:val="false"/>
          <w:i/>
          <w:iCs/>
          <w:color w:val="auto"/>
          <w:sz w:val="22"/>
          <w:szCs w:val="22"/>
          <w:u w:val="single"/>
          <w:lang w:val="ca-ES"/>
        </w:rPr>
        <w:t>disposa de la so</w:t>
      </w:r>
      <w:r>
        <w:rPr>
          <w:rFonts w:eastAsia="Arial" w:cs="Arial" w:ascii="Arial" w:hAnsi="Arial"/>
          <w:b w:val="false"/>
          <w:bCs w:val="false"/>
          <w:i/>
          <w:iCs/>
          <w:color w:val="auto"/>
          <w:sz w:val="22"/>
          <w:szCs w:val="22"/>
          <w:u w:val="single"/>
          <w:lang w:val="ca-ES"/>
        </w:rPr>
        <w:t>lvència</w:t>
      </w:r>
      <w:r>
        <w:rPr>
          <w:rFonts w:eastAsia="Arial" w:cs="Arial" w:ascii="Arial" w:hAnsi="Arial"/>
          <w:b w:val="false"/>
          <w:bCs w:val="false"/>
          <w:i/>
          <w:iCs/>
          <w:color w:val="auto"/>
          <w:sz w:val="22"/>
          <w:szCs w:val="22"/>
          <w:u w:val="none"/>
          <w:lang w:val="ca-ES"/>
        </w:rPr>
        <w:t xml:space="preserve"> indicada en la taula de dades bàsiques del contracte (*H) per participar en la present licitació.</w:t>
      </w:r>
    </w:p>
    <w:p>
      <w:pPr>
        <w:pStyle w:val="Normal"/>
        <w:spacing w:lineRule="auto" w:line="276" w:before="0" w:after="0"/>
        <w:ind w:hanging="0" w:left="0" w:right="0"/>
        <w:jc w:val="both"/>
        <w:rPr>
          <w:rFonts w:ascii="Arial" w:hAnsi="Arial" w:eastAsia="Arial" w:cs="Arial"/>
          <w:b w:val="false"/>
          <w:bCs w:val="false"/>
          <w:i/>
          <w:iCs/>
          <w:color w:val="auto"/>
          <w:sz w:val="22"/>
          <w:szCs w:val="22"/>
          <w:u w:val="none"/>
          <w:lang w:val="ca-ES"/>
        </w:rPr>
      </w:pPr>
      <w:r>
        <w:rPr>
          <w:rFonts w:eastAsia="Arial" w:cs="Arial" w:ascii="Arial" w:hAnsi="Arial"/>
          <w:b w:val="false"/>
          <w:bCs w:val="false"/>
          <w:i/>
          <w:iCs/>
          <w:color w:val="auto"/>
          <w:sz w:val="22"/>
          <w:szCs w:val="22"/>
          <w:u w:val="none"/>
          <w:lang w:val="ca-ES"/>
        </w:rPr>
      </w:r>
    </w:p>
    <w:p>
      <w:pPr>
        <w:pStyle w:val="Normal"/>
        <w:numPr>
          <w:ilvl w:val="0"/>
          <w:numId w:val="2"/>
        </w:numPr>
        <w:spacing w:lineRule="auto" w:line="276" w:before="0" w:after="0"/>
        <w:ind w:hanging="0" w:left="0" w:right="0"/>
        <w:jc w:val="both"/>
        <w:rPr>
          <w:rFonts w:ascii="Arial" w:hAnsi="Arial"/>
          <w:sz w:val="22"/>
          <w:szCs w:val="22"/>
        </w:rPr>
      </w:pPr>
      <w:r>
        <w:rPr>
          <w:rFonts w:eastAsia="Arial" w:cs="Arial" w:ascii="Arial" w:hAnsi="Arial"/>
          <w:b w:val="false"/>
          <w:bCs w:val="false"/>
          <w:i/>
          <w:iCs/>
          <w:color w:val="auto"/>
          <w:sz w:val="22"/>
          <w:szCs w:val="22"/>
          <w:u w:val="none"/>
          <w:lang w:val="ca-ES"/>
        </w:rPr>
        <w:t>3.- Que disposa de l'</w:t>
      </w:r>
      <w:r>
        <w:rPr>
          <w:rFonts w:eastAsia="Arial" w:cs="Arial" w:ascii="Arial" w:hAnsi="Arial"/>
          <w:b w:val="false"/>
          <w:bCs w:val="false"/>
          <w:i/>
          <w:iCs/>
          <w:color w:val="auto"/>
          <w:sz w:val="22"/>
          <w:szCs w:val="22"/>
          <w:u w:val="single"/>
          <w:lang w:val="ca-ES"/>
        </w:rPr>
        <w:t>habilitació empresarial o professional</w:t>
      </w:r>
      <w:r>
        <w:rPr>
          <w:rFonts w:eastAsia="Arial" w:cs="Arial" w:ascii="Arial" w:hAnsi="Arial"/>
          <w:b w:val="false"/>
          <w:bCs w:val="false"/>
          <w:i/>
          <w:iCs/>
          <w:color w:val="auto"/>
          <w:sz w:val="22"/>
          <w:szCs w:val="22"/>
          <w:u w:val="none"/>
          <w:lang w:val="ca-ES"/>
        </w:rPr>
        <w:t xml:space="preserve">. En el cas de presentar-se com  a UTE cada un dels empresaris que formin l'agrupació hauran de declarar aquesta circumstància. </w:t>
      </w:r>
    </w:p>
    <w:p>
      <w:pPr>
        <w:pStyle w:val="Normal"/>
        <w:spacing w:lineRule="auto" w:line="276" w:before="0" w:after="0"/>
        <w:ind w:hanging="0" w:left="0" w:right="0"/>
        <w:jc w:val="both"/>
        <w:rPr>
          <w:rFonts w:ascii="Arial" w:hAnsi="Arial" w:eastAsia="Arial" w:cs="Arial"/>
          <w:b w:val="false"/>
          <w:bCs w:val="false"/>
          <w:i/>
          <w:iCs/>
          <w:color w:val="auto"/>
          <w:sz w:val="22"/>
          <w:szCs w:val="22"/>
          <w:u w:val="none"/>
          <w:lang w:val="ca-ES"/>
        </w:rPr>
      </w:pPr>
      <w:r>
        <w:rPr>
          <w:rFonts w:eastAsia="Arial" w:cs="Arial" w:ascii="Arial" w:hAnsi="Arial"/>
          <w:b w:val="false"/>
          <w:bCs w:val="false"/>
          <w:i/>
          <w:iCs/>
          <w:color w:val="auto"/>
          <w:sz w:val="22"/>
          <w:szCs w:val="22"/>
          <w:u w:val="none"/>
          <w:lang w:val="ca-ES"/>
        </w:rPr>
      </w:r>
    </w:p>
    <w:p>
      <w:pPr>
        <w:pStyle w:val="Normal"/>
        <w:numPr>
          <w:ilvl w:val="0"/>
          <w:numId w:val="2"/>
        </w:numPr>
        <w:spacing w:lineRule="auto" w:line="276" w:before="0" w:after="0"/>
        <w:ind w:hanging="0" w:left="0" w:right="0"/>
        <w:jc w:val="both"/>
        <w:rPr>
          <w:rFonts w:ascii="Arial" w:hAnsi="Arial"/>
          <w:sz w:val="22"/>
          <w:szCs w:val="22"/>
        </w:rPr>
      </w:pPr>
      <w:r>
        <w:rPr>
          <w:rFonts w:ascii="Arial" w:hAnsi="Arial"/>
          <w:i/>
          <w:iCs/>
          <w:color w:val="000000"/>
          <w:sz w:val="22"/>
          <w:szCs w:val="22"/>
          <w:lang w:val="ca-ES"/>
        </w:rPr>
        <w:t xml:space="preserve">4.- Que es troba al corrent del </w:t>
      </w:r>
      <w:r>
        <w:rPr>
          <w:rFonts w:ascii="Arial" w:hAnsi="Arial"/>
          <w:i/>
          <w:iCs/>
          <w:color w:val="000000"/>
          <w:sz w:val="22"/>
          <w:szCs w:val="22"/>
          <w:u w:val="single"/>
          <w:lang w:val="ca-ES"/>
        </w:rPr>
        <w:t>compliment de les obligacions tributàries i amb la Seguretat Social</w:t>
      </w:r>
      <w:r>
        <w:rPr>
          <w:rFonts w:ascii="Arial" w:hAnsi="Arial"/>
          <w:i/>
          <w:iCs/>
          <w:color w:val="000000"/>
          <w:sz w:val="22"/>
          <w:szCs w:val="22"/>
          <w:lang w:val="ca-ES"/>
        </w:rPr>
        <w:t>.</w:t>
      </w:r>
    </w:p>
    <w:p>
      <w:pPr>
        <w:pStyle w:val="Normal"/>
        <w:numPr>
          <w:ilvl w:val="0"/>
          <w:numId w:val="2"/>
        </w:numPr>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Normal"/>
        <w:numPr>
          <w:ilvl w:val="0"/>
          <w:numId w:val="2"/>
        </w:numPr>
        <w:spacing w:lineRule="auto" w:line="276" w:before="0" w:after="0"/>
        <w:ind w:hanging="0" w:left="0" w:right="0"/>
        <w:jc w:val="both"/>
        <w:rPr>
          <w:rFonts w:ascii="Arial" w:hAnsi="Arial"/>
          <w:sz w:val="22"/>
          <w:szCs w:val="22"/>
        </w:rPr>
      </w:pPr>
      <w:r>
        <w:rPr>
          <w:rFonts w:ascii="Arial" w:hAnsi="Arial"/>
          <w:i/>
          <w:iCs/>
          <w:color w:val="000000"/>
          <w:sz w:val="22"/>
          <w:szCs w:val="22"/>
          <w:lang w:val="ca-ES"/>
        </w:rPr>
        <w:t xml:space="preserve">5.- Que </w:t>
      </w:r>
      <w:r>
        <w:rPr>
          <w:rFonts w:ascii="Arial" w:hAnsi="Arial"/>
          <w:i/>
          <w:iCs/>
          <w:color w:val="000000"/>
          <w:sz w:val="22"/>
          <w:szCs w:val="22"/>
          <w:u w:val="single"/>
          <w:lang w:val="ca-ES"/>
        </w:rPr>
        <w:t>no té deutes de naturalesa tributària</w:t>
      </w:r>
      <w:r>
        <w:rPr>
          <w:rFonts w:ascii="Arial" w:hAnsi="Arial"/>
          <w:i/>
          <w:iCs/>
          <w:color w:val="000000"/>
          <w:sz w:val="22"/>
          <w:szCs w:val="22"/>
          <w:lang w:val="ca-ES"/>
        </w:rPr>
        <w:t xml:space="preserve"> en període executiu </w:t>
      </w:r>
      <w:r>
        <w:rPr>
          <w:rFonts w:ascii="Arial" w:hAnsi="Arial"/>
          <w:i/>
          <w:iCs/>
          <w:color w:val="000000"/>
          <w:sz w:val="22"/>
          <w:szCs w:val="22"/>
          <w:highlight w:val="white"/>
          <w:lang w:val="ca-ES"/>
        </w:rPr>
        <w:t>amb l'Ajuntament de Granollers.</w:t>
      </w:r>
    </w:p>
    <w:p>
      <w:pPr>
        <w:pStyle w:val="Normal"/>
        <w:numPr>
          <w:ilvl w:val="0"/>
          <w:numId w:val="2"/>
        </w:numPr>
        <w:spacing w:lineRule="auto" w:line="276" w:before="0" w:after="0"/>
        <w:ind w:hanging="0" w:left="0" w:right="0"/>
        <w:jc w:val="both"/>
        <w:rPr>
          <w:rFonts w:ascii="Arial" w:hAnsi="Arial"/>
          <w:i/>
          <w:iCs/>
          <w:color w:val="000000"/>
          <w:sz w:val="22"/>
          <w:szCs w:val="22"/>
          <w:highlight w:val="white"/>
          <w:lang w:val="ca-ES"/>
        </w:rPr>
      </w:pPr>
      <w:r>
        <w:rPr>
          <w:rFonts w:ascii="Arial" w:hAnsi="Arial"/>
          <w:i/>
          <w:iCs/>
          <w:color w:val="000000"/>
          <w:sz w:val="22"/>
          <w:szCs w:val="22"/>
          <w:highlight w:val="white"/>
          <w:lang w:val="ca-ES"/>
        </w:rPr>
      </w:r>
    </w:p>
    <w:p>
      <w:pPr>
        <w:pStyle w:val="Normal"/>
        <w:numPr>
          <w:ilvl w:val="0"/>
          <w:numId w:val="2"/>
        </w:numPr>
        <w:spacing w:lineRule="auto" w:line="276" w:before="0" w:after="0"/>
        <w:ind w:hanging="0" w:left="0" w:right="0"/>
        <w:jc w:val="both"/>
        <w:rPr>
          <w:rFonts w:ascii="Arial" w:hAnsi="Arial"/>
          <w:sz w:val="22"/>
          <w:szCs w:val="22"/>
        </w:rPr>
      </w:pPr>
      <w:r>
        <w:rPr>
          <w:rFonts w:ascii="Arial" w:hAnsi="Arial"/>
          <w:i/>
          <w:iCs/>
          <w:color w:val="000000"/>
          <w:sz w:val="22"/>
          <w:szCs w:val="22"/>
          <w:lang w:val="ca-ES"/>
        </w:rPr>
        <w:t xml:space="preserve">6.- Que, de conformitat amb el que estableix l'art. 150.2 de la LCSP, autoritza a l'Ajuntament de Granollers per que pugui obtenir directament, davant de les Administracions competents, els certificats acreditatius del compliment de les obligacions tributaries i amb la Seguretat Social. </w:t>
      </w:r>
    </w:p>
    <w:p>
      <w:pPr>
        <w:pStyle w:val="Normal"/>
        <w:numPr>
          <w:ilvl w:val="0"/>
          <w:numId w:val="2"/>
        </w:numPr>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Normal"/>
        <w:numPr>
          <w:ilvl w:val="0"/>
          <w:numId w:val="2"/>
        </w:numPr>
        <w:spacing w:lineRule="auto" w:line="276" w:before="0" w:after="0"/>
        <w:ind w:hanging="0" w:left="0" w:right="0"/>
        <w:jc w:val="both"/>
        <w:rPr>
          <w:rFonts w:ascii="Arial" w:hAnsi="Arial"/>
          <w:sz w:val="22"/>
          <w:szCs w:val="22"/>
        </w:rPr>
      </w:pPr>
      <w:r>
        <w:rPr>
          <w:rFonts w:ascii="Arial" w:hAnsi="Arial"/>
          <w:i/>
          <w:iCs/>
          <w:color w:val="000000"/>
          <w:sz w:val="22"/>
          <w:szCs w:val="22"/>
          <w:lang w:val="ca-ES"/>
        </w:rPr>
        <w:t>7.- Que l'empresa està inscrita en el Cens d’empresaris, professionals o retenidors de l’agencia estatal de l’Administració Tributaria, que reflecteix l’activitat efectivament desenvolupada en la data de participació en el procediment de licitació.</w:t>
      </w:r>
    </w:p>
    <w:p>
      <w:pPr>
        <w:pStyle w:val="Normal"/>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Normal"/>
        <w:numPr>
          <w:ilvl w:val="0"/>
          <w:numId w:val="2"/>
        </w:numPr>
        <w:spacing w:lineRule="auto" w:line="276" w:before="0" w:after="0"/>
        <w:ind w:hanging="0" w:left="0" w:right="0"/>
        <w:jc w:val="both"/>
        <w:rPr>
          <w:rFonts w:ascii="Arial" w:hAnsi="Arial"/>
          <w:sz w:val="22"/>
          <w:szCs w:val="22"/>
        </w:rPr>
      </w:pPr>
      <w:r>
        <w:rPr>
          <w:rFonts w:eastAsia="Arial" w:cs="Arial" w:ascii="Arial" w:hAnsi="Arial"/>
          <w:b w:val="false"/>
          <w:i/>
          <w:iCs/>
          <w:color w:val="000000"/>
          <w:sz w:val="22"/>
          <w:szCs w:val="22"/>
          <w:lang w:val="ca-ES"/>
        </w:rPr>
        <w:t>8.- Que en cas de resultar proposat com adjudicatari, es compromet a aportar la documentació assenyalada en la clàusula VI del present plec.</w:t>
      </w:r>
    </w:p>
    <w:p>
      <w:pPr>
        <w:pStyle w:val="Normal"/>
        <w:numPr>
          <w:ilvl w:val="0"/>
          <w:numId w:val="2"/>
        </w:numPr>
        <w:spacing w:lineRule="auto" w:line="276" w:before="0" w:after="0"/>
        <w:ind w:hanging="0" w:left="0" w:right="0"/>
        <w:jc w:val="both"/>
        <w:rPr>
          <w:rFonts w:ascii="Arial" w:hAnsi="Arial" w:eastAsia="Arial" w:cs="Arial"/>
          <w:b w:val="false"/>
          <w:i/>
          <w:iCs/>
          <w:color w:val="000000"/>
          <w:sz w:val="22"/>
          <w:szCs w:val="22"/>
          <w:lang w:val="ca-ES"/>
        </w:rPr>
      </w:pPr>
      <w:r>
        <w:rPr>
          <w:rFonts w:eastAsia="Arial" w:cs="Arial" w:ascii="Arial" w:hAnsi="Arial"/>
          <w:b w:val="false"/>
          <w:i/>
          <w:iCs/>
          <w:color w:val="000000"/>
          <w:sz w:val="22"/>
          <w:szCs w:val="22"/>
          <w:lang w:val="ca-ES"/>
        </w:rPr>
      </w:r>
    </w:p>
    <w:p>
      <w:pPr>
        <w:pStyle w:val="Normal"/>
        <w:numPr>
          <w:ilvl w:val="0"/>
          <w:numId w:val="2"/>
        </w:numPr>
        <w:spacing w:lineRule="auto" w:line="276" w:before="0" w:after="0"/>
        <w:ind w:hanging="0" w:left="0" w:right="0"/>
        <w:jc w:val="both"/>
        <w:rPr>
          <w:rFonts w:ascii="Arial" w:hAnsi="Arial"/>
          <w:sz w:val="22"/>
          <w:szCs w:val="22"/>
        </w:rPr>
      </w:pPr>
      <w:r>
        <w:rPr>
          <w:rFonts w:eastAsia="Arial" w:cs="Arial" w:ascii="Arial" w:hAnsi="Arial"/>
          <w:b w:val="false"/>
          <w:i/>
          <w:iCs/>
          <w:color w:val="000000"/>
          <w:sz w:val="22"/>
          <w:szCs w:val="22"/>
          <w:lang w:val="ca-ES"/>
        </w:rPr>
        <w:t xml:space="preserve">9.- Que en el cas de resultar proposat adjudicatari, disposarà d’una </w:t>
      </w:r>
      <w:r>
        <w:rPr>
          <w:rFonts w:eastAsia="Arial" w:cs="Arial" w:ascii="Arial" w:hAnsi="Arial"/>
          <w:b w:val="false"/>
          <w:i/>
          <w:iCs/>
          <w:color w:val="000000"/>
          <w:sz w:val="22"/>
          <w:szCs w:val="22"/>
          <w:u w:val="single"/>
          <w:lang w:val="ca-ES"/>
        </w:rPr>
        <w:t>assegurança de responsabilitat civil</w:t>
      </w:r>
      <w:r>
        <w:rPr>
          <w:rFonts w:eastAsia="Arial" w:cs="Arial" w:ascii="Arial" w:hAnsi="Arial"/>
          <w:b w:val="false"/>
          <w:i/>
          <w:iCs/>
          <w:color w:val="000000"/>
          <w:sz w:val="22"/>
          <w:szCs w:val="22"/>
          <w:u w:val="none"/>
          <w:lang w:val="ca-ES"/>
        </w:rPr>
        <w:t xml:space="preserve"> </w:t>
      </w:r>
      <w:r>
        <w:rPr>
          <w:rFonts w:eastAsia="Arial" w:cs="Arial" w:ascii="Arial" w:hAnsi="Arial"/>
          <w:b w:val="false"/>
          <w:i/>
          <w:iCs/>
          <w:color w:val="000000"/>
          <w:sz w:val="22"/>
          <w:szCs w:val="22"/>
          <w:lang w:val="ca-ES"/>
        </w:rPr>
        <w:t>que cobreixi les necessitats objecte del contracte, d'acord amb la clàusula XI d'aquest plec.</w:t>
      </w:r>
    </w:p>
    <w:p>
      <w:pPr>
        <w:pStyle w:val="Normal"/>
        <w:numPr>
          <w:ilvl w:val="0"/>
          <w:numId w:val="2"/>
        </w:numPr>
        <w:spacing w:lineRule="auto" w:line="276" w:before="0" w:after="0"/>
        <w:ind w:hanging="0" w:left="0" w:right="0"/>
        <w:jc w:val="both"/>
        <w:rPr>
          <w:rFonts w:ascii="Arial" w:hAnsi="Arial" w:eastAsia="Arial" w:cs="Arial"/>
          <w:b w:val="false"/>
          <w:i/>
          <w:iCs/>
          <w:color w:val="000000"/>
          <w:sz w:val="22"/>
          <w:szCs w:val="22"/>
          <w:lang w:val="ca-ES"/>
        </w:rPr>
      </w:pPr>
      <w:r>
        <w:rPr>
          <w:rFonts w:eastAsia="Arial" w:cs="Arial" w:ascii="Arial" w:hAnsi="Arial"/>
          <w:b w:val="false"/>
          <w:i/>
          <w:iCs/>
          <w:color w:val="000000"/>
          <w:sz w:val="22"/>
          <w:szCs w:val="22"/>
          <w:lang w:val="ca-ES"/>
        </w:rPr>
      </w:r>
    </w:p>
    <w:p>
      <w:pPr>
        <w:pStyle w:val="Normal"/>
        <w:numPr>
          <w:ilvl w:val="0"/>
          <w:numId w:val="2"/>
        </w:numPr>
        <w:spacing w:lineRule="auto" w:line="276" w:before="0" w:after="0"/>
        <w:ind w:hanging="0" w:left="0" w:right="0"/>
        <w:jc w:val="both"/>
        <w:rPr>
          <w:rFonts w:ascii="Arial" w:hAnsi="Arial"/>
          <w:sz w:val="22"/>
          <w:szCs w:val="22"/>
        </w:rPr>
      </w:pPr>
      <w:r>
        <w:rPr>
          <w:rFonts w:eastAsia="Times New Roman" w:cs="Times New Roman" w:ascii="Arial" w:hAnsi="Arial"/>
          <w:b w:val="false"/>
          <w:bCs w:val="false"/>
          <w:i/>
          <w:iCs/>
          <w:color w:val="000000"/>
          <w:sz w:val="22"/>
          <w:szCs w:val="22"/>
          <w:lang w:val="ca-ES" w:eastAsia="zh-CN" w:bidi="hi-IN"/>
        </w:rPr>
        <w:t xml:space="preserve">10.- Que les  persones treballadores destinades a l'execució del contracte estan afiliades i donades d’alta en la Seguretat Social. Aquesta obligació s'estendrà a tot el personal subcontractat per l'empresa adjudicatària principal. </w:t>
      </w:r>
    </w:p>
    <w:p>
      <w:pPr>
        <w:pStyle w:val="Normal"/>
        <w:numPr>
          <w:ilvl w:val="0"/>
          <w:numId w:val="2"/>
        </w:numPr>
        <w:spacing w:lineRule="auto" w:line="276" w:before="0" w:after="0"/>
        <w:ind w:hanging="0" w:left="0" w:right="0"/>
        <w:jc w:val="both"/>
        <w:rPr>
          <w:rFonts w:ascii="Arial" w:hAnsi="Arial" w:eastAsia="Times New Roman" w:cs="Times New Roman"/>
          <w:b w:val="false"/>
          <w:bCs w:val="false"/>
          <w:i/>
          <w:iCs/>
          <w:color w:val="000000"/>
          <w:sz w:val="22"/>
          <w:szCs w:val="22"/>
          <w:lang w:val="ca-ES" w:eastAsia="zh-CN" w:bidi="hi-IN"/>
        </w:rPr>
      </w:pPr>
      <w:r>
        <w:rPr>
          <w:rFonts w:eastAsia="Times New Roman" w:cs="Times New Roman" w:ascii="Arial" w:hAnsi="Arial"/>
          <w:b w:val="false"/>
          <w:bCs w:val="false"/>
          <w:i/>
          <w:iCs/>
          <w:color w:val="000000"/>
          <w:sz w:val="22"/>
          <w:szCs w:val="22"/>
          <w:lang w:val="ca-ES" w:eastAsia="zh-CN" w:bidi="hi-IN"/>
        </w:rPr>
      </w:r>
    </w:p>
    <w:p>
      <w:pPr>
        <w:pStyle w:val="Normal"/>
        <w:numPr>
          <w:ilvl w:val="0"/>
          <w:numId w:val="2"/>
        </w:numPr>
        <w:spacing w:lineRule="auto" w:line="276" w:before="0" w:after="0"/>
        <w:ind w:hanging="0" w:left="0" w:right="0"/>
        <w:jc w:val="both"/>
        <w:rPr>
          <w:rFonts w:ascii="Arial" w:hAnsi="Arial"/>
          <w:sz w:val="22"/>
          <w:szCs w:val="22"/>
        </w:rPr>
      </w:pPr>
      <w:r>
        <w:rPr>
          <w:rFonts w:eastAsia="Arial" w:cs="Arial" w:ascii="Arial" w:hAnsi="Arial"/>
          <w:b w:val="false"/>
          <w:i/>
          <w:iCs/>
          <w:color w:val="000000"/>
          <w:sz w:val="22"/>
          <w:szCs w:val="22"/>
          <w:lang w:val="ca-ES"/>
        </w:rPr>
        <w:t xml:space="preserve">11.- </w:t>
      </w:r>
      <w:r>
        <w:rPr>
          <w:rFonts w:eastAsia="Helv" w:cs="Helv" w:ascii="Arial" w:hAnsi="Arial"/>
          <w:b w:val="false"/>
          <w:i/>
          <w:iCs/>
          <w:color w:val="000000"/>
          <w:sz w:val="22"/>
          <w:szCs w:val="22"/>
          <w:lang w:val="ca-ES"/>
        </w:rPr>
        <w:t xml:space="preserve">Que el licitador, les empreses filials, els contractistes i els 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Normal"/>
        <w:numPr>
          <w:ilvl w:val="0"/>
          <w:numId w:val="2"/>
        </w:numPr>
        <w:spacing w:lineRule="auto" w:line="276" w:before="0" w:after="0"/>
        <w:ind w:hanging="0" w:left="0" w:right="0"/>
        <w:jc w:val="both"/>
        <w:rPr>
          <w:rFonts w:ascii="Arial" w:hAnsi="Arial" w:eastAsia="Helv" w:cs="Helv"/>
          <w:b w:val="false"/>
          <w:i/>
          <w:iCs/>
          <w:color w:val="000000"/>
          <w:sz w:val="22"/>
          <w:szCs w:val="22"/>
          <w:lang w:val="ca-ES"/>
        </w:rPr>
      </w:pPr>
      <w:r>
        <w:rPr>
          <w:rFonts w:eastAsia="Helv" w:cs="Helv" w:ascii="Arial" w:hAnsi="Arial"/>
          <w:b w:val="false"/>
          <w:i/>
          <w:iCs/>
          <w:color w:val="000000"/>
          <w:sz w:val="22"/>
          <w:szCs w:val="22"/>
          <w:lang w:val="ca-ES"/>
        </w:rPr>
      </w:r>
    </w:p>
    <w:p>
      <w:pPr>
        <w:pStyle w:val="Normal"/>
        <w:numPr>
          <w:ilvl w:val="0"/>
          <w:numId w:val="2"/>
        </w:numPr>
        <w:spacing w:lineRule="auto" w:line="276" w:before="0" w:after="0"/>
        <w:ind w:hanging="0" w:left="0" w:right="0"/>
        <w:jc w:val="both"/>
        <w:rPr>
          <w:rFonts w:ascii="Arial" w:hAnsi="Arial"/>
          <w:sz w:val="22"/>
          <w:szCs w:val="22"/>
        </w:rPr>
      </w:pPr>
      <w:r>
        <w:rPr>
          <w:rFonts w:eastAsia="Helv" w:cs="Helv" w:ascii="Arial" w:hAnsi="Arial"/>
          <w:b w:val="false"/>
          <w:i/>
          <w:iCs/>
          <w:color w:val="000000"/>
          <w:sz w:val="22"/>
          <w:szCs w:val="22"/>
          <w:lang w:val="ca-ES"/>
        </w:rPr>
        <w:t>En el supòsit que aquestes empreses tinguin relació amb els paradisos fiscals sense incórrer en les actuacions il·legals descrites a l'apartat anterior, haurà d</w:t>
      </w:r>
      <w:r>
        <w:rPr>
          <w:rFonts w:eastAsia="Arial" w:cs="Arial" w:ascii="Arial" w:hAnsi="Arial"/>
          <w:b w:val="false"/>
          <w:i/>
          <w:iCs/>
          <w:color w:val="000000"/>
          <w:sz w:val="22"/>
          <w:szCs w:val="22"/>
          <w:highlight w:val="white"/>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highlight w:val="white"/>
          <w:u w:val="none"/>
          <w:lang w:val="ca-ES"/>
        </w:rPr>
        <w:t xml:space="preserve"> perfil de contractant</w:t>
      </w:r>
      <w:r>
        <w:rPr>
          <w:rFonts w:eastAsia="Arial" w:cs="Arial" w:ascii="Arial" w:hAnsi="Arial"/>
          <w:b w:val="false"/>
          <w:i/>
          <w:iCs/>
          <w:color w:val="000000"/>
          <w:sz w:val="22"/>
          <w:szCs w:val="22"/>
          <w:highlight w:val="white"/>
          <w:lang w:val="ca-ES"/>
        </w:rPr>
        <w:t xml:space="preserve"> de què l’empresa ha declarat tenir relacions amb paradisos fiscals.</w:t>
      </w:r>
    </w:p>
    <w:p>
      <w:pPr>
        <w:pStyle w:val="Normal"/>
        <w:numPr>
          <w:ilvl w:val="0"/>
          <w:numId w:val="2"/>
        </w:numPr>
        <w:spacing w:lineRule="auto" w:line="276" w:before="0" w:after="0"/>
        <w:ind w:hanging="0" w:left="0" w:right="0"/>
        <w:jc w:val="both"/>
        <w:rPr>
          <w:rFonts w:ascii="Arial" w:hAnsi="Arial" w:eastAsia="Arial" w:cs="Arial"/>
          <w:b w:val="false"/>
          <w:i/>
          <w:iCs/>
          <w:color w:val="000000"/>
          <w:sz w:val="22"/>
          <w:szCs w:val="22"/>
          <w:highlight w:val="white"/>
          <w:lang w:val="ca-ES"/>
        </w:rPr>
      </w:pPr>
      <w:r>
        <w:rPr>
          <w:rFonts w:eastAsia="Arial" w:cs="Arial" w:ascii="Arial" w:hAnsi="Arial"/>
          <w:b w:val="false"/>
          <w:i/>
          <w:iCs/>
          <w:color w:val="000000"/>
          <w:sz w:val="22"/>
          <w:szCs w:val="22"/>
          <w:highlight w:val="white"/>
          <w:lang w:val="ca-ES"/>
        </w:rPr>
      </w:r>
    </w:p>
    <w:p>
      <w:pPr>
        <w:pStyle w:val="Normal"/>
        <w:numPr>
          <w:ilvl w:val="0"/>
          <w:numId w:val="2"/>
        </w:numPr>
        <w:spacing w:lineRule="auto" w:line="276" w:before="0" w:after="0"/>
        <w:ind w:hanging="0" w:left="0" w:right="0"/>
        <w:jc w:val="both"/>
        <w:rPr>
          <w:rFonts w:ascii="Arial" w:hAnsi="Arial"/>
          <w:sz w:val="22"/>
          <w:szCs w:val="22"/>
        </w:rPr>
      </w:pPr>
      <w:r>
        <w:rPr>
          <w:rFonts w:eastAsia="Arial" w:cs="Arial" w:ascii="Arial" w:hAnsi="Arial"/>
          <w:b w:val="false"/>
          <w:i/>
          <w:iCs/>
          <w:color w:val="000000"/>
          <w:sz w:val="22"/>
          <w:szCs w:val="22"/>
          <w:lang w:val="ca-ES"/>
        </w:rPr>
        <w:t xml:space="preserve">12.-  Que </w:t>
      </w:r>
      <w:r>
        <w:rPr>
          <w:rFonts w:eastAsia="Helv" w:cs="Helv" w:ascii="Arial" w:hAnsi="Arial"/>
          <w:b w:val="false"/>
          <w:i/>
          <w:iCs/>
          <w:color w:val="000000"/>
          <w:sz w:val="22"/>
          <w:szCs w:val="22"/>
          <w:lang w:val="ca-ES"/>
        </w:rPr>
        <w:t>no ha efectuat donació alguna a partits polítics o a les fundacions vinculades a partits polítics durant els darrers 2 exercicis</w:t>
      </w:r>
    </w:p>
    <w:p>
      <w:pPr>
        <w:pStyle w:val="Normal"/>
        <w:numPr>
          <w:ilvl w:val="0"/>
          <w:numId w:val="2"/>
        </w:numPr>
        <w:spacing w:lineRule="auto" w:line="276" w:before="0" w:after="0"/>
        <w:ind w:hanging="0" w:left="0" w:right="0"/>
        <w:jc w:val="both"/>
        <w:rPr>
          <w:rFonts w:ascii="Arial" w:hAnsi="Arial" w:eastAsia="Helv" w:cs="Helv"/>
          <w:b w:val="false"/>
          <w:i/>
          <w:iCs/>
          <w:color w:val="000000"/>
          <w:sz w:val="22"/>
          <w:szCs w:val="22"/>
          <w:lang w:val="ca-ES"/>
        </w:rPr>
      </w:pPr>
      <w:r>
        <w:rPr>
          <w:rFonts w:eastAsia="Helv" w:cs="Helv" w:ascii="Arial" w:hAnsi="Arial"/>
          <w:b w:val="false"/>
          <w:i/>
          <w:iCs/>
          <w:color w:val="000000"/>
          <w:sz w:val="22"/>
          <w:szCs w:val="22"/>
          <w:lang w:val="ca-ES"/>
        </w:rPr>
      </w:r>
    </w:p>
    <w:p>
      <w:pPr>
        <w:pStyle w:val="Normal"/>
        <w:numPr>
          <w:ilvl w:val="0"/>
          <w:numId w:val="2"/>
        </w:numPr>
        <w:spacing w:lineRule="auto" w:line="276" w:before="0" w:after="0"/>
        <w:ind w:hanging="0" w:left="0" w:right="0"/>
        <w:jc w:val="both"/>
        <w:rPr>
          <w:rFonts w:ascii="Arial" w:hAnsi="Arial"/>
          <w:sz w:val="22"/>
          <w:szCs w:val="22"/>
        </w:rPr>
      </w:pPr>
      <w:r>
        <w:rPr>
          <w:rFonts w:eastAsia="Times New Roman" w:cs="Times New Roman" w:ascii="Arial" w:hAnsi="Arial"/>
          <w:b w:val="false"/>
          <w:bCs w:val="false"/>
          <w:i/>
          <w:iCs/>
          <w:color w:val="000000"/>
          <w:sz w:val="22"/>
          <w:szCs w:val="22"/>
          <w:lang w:val="ca-ES" w:eastAsia="zh-CN" w:bidi="hi-IN"/>
        </w:rPr>
        <w:t xml:space="preserve">13.- Que no discriminarà per raó de gènere, evitant a més, en tots els casos, l’ús del llenguatge i imatges sexistes. Aquesta obligació és extensiva a la documentació que presentin els licitadors. </w:t>
      </w:r>
    </w:p>
    <w:p>
      <w:pPr>
        <w:pStyle w:val="Normal"/>
        <w:numPr>
          <w:ilvl w:val="0"/>
          <w:numId w:val="2"/>
        </w:numPr>
        <w:spacing w:lineRule="auto" w:line="276" w:before="0" w:after="0"/>
        <w:ind w:hanging="0" w:left="0" w:right="0"/>
        <w:jc w:val="both"/>
        <w:rPr>
          <w:rFonts w:ascii="Arial" w:hAnsi="Arial" w:eastAsia="Times New Roman" w:cs="Times New Roman"/>
          <w:b w:val="false"/>
          <w:bCs w:val="false"/>
          <w:i/>
          <w:iCs/>
          <w:color w:val="000000"/>
          <w:sz w:val="22"/>
          <w:szCs w:val="22"/>
          <w:lang w:val="ca-ES" w:eastAsia="zh-CN" w:bidi="hi-IN"/>
        </w:rPr>
      </w:pPr>
      <w:r>
        <w:rPr>
          <w:rFonts w:eastAsia="Times New Roman" w:cs="Times New Roman" w:ascii="Arial" w:hAnsi="Arial"/>
          <w:b w:val="false"/>
          <w:bCs w:val="false"/>
          <w:i/>
          <w:iCs/>
          <w:color w:val="000000"/>
          <w:sz w:val="22"/>
          <w:szCs w:val="22"/>
          <w:lang w:val="ca-ES" w:eastAsia="zh-CN" w:bidi="hi-IN"/>
        </w:rPr>
      </w:r>
    </w:p>
    <w:p>
      <w:pPr>
        <w:pStyle w:val="Normal"/>
        <w:numPr>
          <w:ilvl w:val="0"/>
          <w:numId w:val="2"/>
        </w:numPr>
        <w:spacing w:lineRule="auto" w:line="276" w:before="0" w:after="0"/>
        <w:ind w:hanging="0" w:left="0" w:right="0"/>
        <w:jc w:val="both"/>
        <w:rPr>
          <w:rFonts w:ascii="Arial" w:hAnsi="Arial"/>
          <w:sz w:val="22"/>
          <w:szCs w:val="22"/>
        </w:rPr>
      </w:pPr>
      <w:r>
        <w:rPr>
          <w:rFonts w:ascii="Arial" w:hAnsi="Arial"/>
          <w:bCs w:val="false"/>
          <w:i/>
          <w:iCs/>
          <w:color w:val="000000"/>
          <w:sz w:val="22"/>
          <w:szCs w:val="22"/>
          <w:highlight w:val="white"/>
          <w:lang w:val="ca-ES" w:eastAsia="zh-CN" w:bidi="hi-IN"/>
        </w:rPr>
        <w:t>14.- Que el licitador compleix amb tots els requisits de gestió ambiental que disposa l’Ajuntament de Granollers.</w:t>
      </w:r>
    </w:p>
    <w:p>
      <w:pPr>
        <w:pStyle w:val="Normal"/>
        <w:numPr>
          <w:ilvl w:val="0"/>
          <w:numId w:val="2"/>
        </w:numPr>
        <w:spacing w:lineRule="auto" w:line="276" w:before="0" w:after="0"/>
        <w:ind w:hanging="0" w:left="0" w:right="0"/>
        <w:jc w:val="both"/>
        <w:rPr>
          <w:rFonts w:ascii="Arial" w:hAnsi="Arial"/>
          <w:b w:val="false"/>
          <w:bCs w:val="false"/>
          <w:sz w:val="22"/>
          <w:szCs w:val="22"/>
          <w:highlight w:val="white"/>
          <w:lang w:eastAsia="zh-CN" w:bidi="hi-IN"/>
        </w:rPr>
      </w:pPr>
      <w:r>
        <w:rPr>
          <w:rFonts w:ascii="Arial" w:hAnsi="Arial"/>
          <w:b w:val="false"/>
          <w:bCs w:val="false"/>
          <w:sz w:val="22"/>
          <w:szCs w:val="22"/>
          <w:highlight w:val="white"/>
          <w:lang w:eastAsia="zh-CN" w:bidi="hi-IN"/>
        </w:rPr>
      </w:r>
    </w:p>
    <w:p>
      <w:pPr>
        <w:pStyle w:val="Normal"/>
        <w:numPr>
          <w:ilvl w:val="0"/>
          <w:numId w:val="2"/>
        </w:numPr>
        <w:spacing w:lineRule="auto" w:line="276" w:before="0" w:after="0"/>
        <w:ind w:hanging="0" w:left="0" w:right="0"/>
        <w:jc w:val="both"/>
        <w:rPr>
          <w:rFonts w:ascii="Arial" w:hAnsi="Arial"/>
          <w:sz w:val="22"/>
          <w:szCs w:val="22"/>
        </w:rPr>
      </w:pPr>
      <w:r>
        <w:rPr>
          <w:rFonts w:ascii="Arial" w:hAnsi="Arial"/>
          <w:bCs w:val="false"/>
          <w:i/>
          <w:iCs/>
          <w:color w:val="000000"/>
          <w:sz w:val="22"/>
          <w:szCs w:val="22"/>
          <w:highlight w:val="white"/>
          <w:lang w:val="ca-ES" w:eastAsia="zh-CN" w:bidi="hi-IN"/>
        </w:rPr>
        <w:t xml:space="preserve">15.- Que es disposa de l’avaluació de riscos laborals conforme la normativa vigent. </w:t>
      </w:r>
    </w:p>
    <w:p>
      <w:pPr>
        <w:pStyle w:val="Normal"/>
        <w:numPr>
          <w:ilvl w:val="0"/>
          <w:numId w:val="2"/>
        </w:numPr>
        <w:spacing w:lineRule="auto" w:line="276" w:before="0" w:after="0"/>
        <w:ind w:hanging="0" w:left="0" w:right="0"/>
        <w:jc w:val="both"/>
        <w:rPr>
          <w:rFonts w:ascii="Arial" w:hAnsi="Arial"/>
          <w:b w:val="false"/>
          <w:bCs w:val="false"/>
          <w:i/>
          <w:iCs/>
          <w:color w:val="000000"/>
          <w:sz w:val="22"/>
          <w:szCs w:val="22"/>
          <w:highlight w:val="white"/>
          <w:lang w:val="ca-ES" w:eastAsia="zh-CN" w:bidi="hi-IN"/>
        </w:rPr>
      </w:pPr>
      <w:r>
        <w:rPr>
          <w:rFonts w:ascii="Arial" w:hAnsi="Arial"/>
          <w:b w:val="false"/>
          <w:bCs w:val="false"/>
          <w:i/>
          <w:iCs/>
          <w:color w:val="000000"/>
          <w:sz w:val="22"/>
          <w:szCs w:val="22"/>
          <w:highlight w:val="white"/>
          <w:lang w:val="ca-ES" w:eastAsia="zh-CN" w:bidi="hi-IN"/>
        </w:rPr>
      </w:r>
    </w:p>
    <w:p>
      <w:pPr>
        <w:pStyle w:val="Normal"/>
        <w:numPr>
          <w:ilvl w:val="0"/>
          <w:numId w:val="2"/>
        </w:numPr>
        <w:spacing w:lineRule="auto" w:line="276"/>
        <w:ind w:hanging="0" w:left="0" w:right="0"/>
        <w:jc w:val="both"/>
        <w:rPr>
          <w:rFonts w:ascii="Arial" w:hAnsi="Arial"/>
          <w:sz w:val="22"/>
          <w:szCs w:val="22"/>
        </w:rPr>
      </w:pPr>
      <w:r>
        <w:rPr>
          <w:rFonts w:eastAsia="Times New Roman" w:cs="Times New Roman" w:ascii="Arial" w:hAnsi="Arial"/>
          <w:b w:val="false"/>
          <w:bCs w:val="false"/>
          <w:i/>
          <w:iCs/>
          <w:color w:val="auto"/>
          <w:sz w:val="22"/>
          <w:szCs w:val="22"/>
          <w:u w:val="none"/>
          <w:lang w:val="ca-ES" w:eastAsia="zh-CN" w:bidi="hi-IN"/>
        </w:rPr>
        <w:t>16.- Que d’acord amb la normativa vigent, declara ser: (escollir opció)</w:t>
      </w:r>
    </w:p>
    <w:p>
      <w:pPr>
        <w:pStyle w:val="Normal"/>
        <w:widowControl/>
        <w:numPr>
          <w:ilvl w:val="0"/>
          <w:numId w:val="2"/>
        </w:numPr>
        <w:tabs>
          <w:tab w:val="clear" w:pos="720"/>
        </w:tabs>
        <w:bidi w:val="0"/>
        <w:spacing w:lineRule="auto" w:line="276" w:before="0" w:after="0"/>
        <w:ind w:hanging="0" w:left="0" w:right="0"/>
        <w:jc w:val="both"/>
        <w:rPr/>
      </w:pPr>
      <w:r>
        <w:rPr>
          <w:rStyle w:val="Fuentedeprrafopredeter"/>
          <w:rFonts w:eastAsia="Times New Roman" w:cs="Times New Roman" w:ascii="Arial" w:hAnsi="Arial"/>
          <w:b w:val="false"/>
          <w:bCs w:val="false"/>
          <w:i/>
          <w:iCs/>
          <w:color w:val="auto"/>
          <w:sz w:val="22"/>
          <w:szCs w:val="22"/>
          <w:u w:val="none"/>
          <w:lang w:val="ca-ES" w:eastAsia="zh-CN" w:bidi="hi-IN"/>
        </w:rPr>
        <w:tab/>
        <w:tab/>
        <w:tab/>
        <w:t xml:space="preserve">□ PIME    </w:t>
        <w:tab/>
        <w:t xml:space="preserve"> □ No PIME</w:t>
      </w:r>
    </w:p>
    <w:p>
      <w:pPr>
        <w:pStyle w:val="Normal"/>
        <w:widowControl/>
        <w:numPr>
          <w:ilvl w:val="0"/>
          <w:numId w:val="2"/>
        </w:numPr>
        <w:tabs>
          <w:tab w:val="clear" w:pos="720"/>
        </w:tabs>
        <w:bidi w:val="0"/>
        <w:spacing w:lineRule="auto" w:line="276" w:before="0" w:after="0"/>
        <w:ind w:hanging="0" w:left="0" w:right="0"/>
        <w:jc w:val="both"/>
        <w:rPr>
          <w:rFonts w:ascii="Arial" w:hAnsi="Arial" w:eastAsia="Times New Roman" w:cs="Times New Roman"/>
          <w:b w:val="false"/>
          <w:bCs w:val="false"/>
          <w:i/>
          <w:iCs/>
          <w:sz w:val="22"/>
          <w:szCs w:val="22"/>
          <w:u w:val="none"/>
          <w:lang w:eastAsia="zh-CN" w:bidi="hi-IN"/>
        </w:rPr>
      </w:pPr>
      <w:r>
        <w:rPr>
          <w:rFonts w:eastAsia="Times New Roman" w:cs="Times New Roman" w:ascii="Arial" w:hAnsi="Arial"/>
          <w:b w:val="false"/>
          <w:bCs w:val="false"/>
          <w:i/>
          <w:iCs/>
          <w:sz w:val="22"/>
          <w:szCs w:val="22"/>
          <w:u w:val="none"/>
          <w:lang w:eastAsia="zh-CN" w:bidi="hi-IN"/>
        </w:rPr>
      </w:r>
    </w:p>
    <w:p>
      <w:pPr>
        <w:pStyle w:val="Normal"/>
        <w:widowControl/>
        <w:numPr>
          <w:ilvl w:val="0"/>
          <w:numId w:val="2"/>
        </w:numPr>
        <w:tabs>
          <w:tab w:val="clear" w:pos="720"/>
        </w:tabs>
        <w:bidi w:val="0"/>
        <w:spacing w:lineRule="auto" w:line="276" w:before="57" w:after="57"/>
        <w:ind w:hanging="0" w:left="0" w:right="0"/>
        <w:jc w:val="both"/>
        <w:rPr/>
      </w:pPr>
      <w:r>
        <w:rPr>
          <w:rStyle w:val="Fuentedeprrafopredeter"/>
          <w:rFonts w:eastAsia="Times New Roman" w:cs="Times New Roman" w:ascii="Arial" w:hAnsi="Arial"/>
          <w:b w:val="false"/>
          <w:bCs w:val="false"/>
          <w:i/>
          <w:iCs/>
          <w:color w:val="auto"/>
          <w:sz w:val="22"/>
          <w:szCs w:val="22"/>
          <w:u w:val="none"/>
          <w:lang w:val="ca-ES" w:eastAsia="zh-CN" w:bidi="hi-IN"/>
        </w:rPr>
        <w:t>17.- Que disposa del següent nombre de treballadors: (escollir opció)</w:t>
      </w:r>
    </w:p>
    <w:p>
      <w:pPr>
        <w:pStyle w:val="Normal"/>
        <w:widowControl/>
        <w:numPr>
          <w:ilvl w:val="0"/>
          <w:numId w:val="2"/>
        </w:numPr>
        <w:tabs>
          <w:tab w:val="clear" w:pos="720"/>
        </w:tabs>
        <w:bidi w:val="0"/>
        <w:spacing w:lineRule="auto" w:line="276" w:before="0" w:after="0"/>
        <w:ind w:hanging="0" w:left="0" w:right="0"/>
        <w:jc w:val="both"/>
        <w:rPr/>
      </w:pPr>
      <w:r>
        <w:rPr>
          <w:rStyle w:val="Fuentedeprrafopredeter"/>
          <w:rFonts w:eastAsia="Times New Roman" w:cs="Times New Roman" w:ascii="Arial" w:hAnsi="Arial"/>
          <w:b w:val="false"/>
          <w:bCs w:val="false"/>
          <w:i w:val="false"/>
          <w:iCs w:val="false"/>
          <w:color w:val="auto"/>
          <w:sz w:val="22"/>
          <w:szCs w:val="22"/>
          <w:u w:val="none"/>
          <w:lang w:val="ca-ES" w:eastAsia="zh-CN" w:bidi="hi-IN"/>
        </w:rPr>
        <w:tab/>
        <w:tab/>
        <w:tab/>
      </w:r>
      <w:r>
        <w:rPr>
          <w:rStyle w:val="Fuentedeprrafopredeter"/>
          <w:rFonts w:eastAsia="Times New Roman" w:cs="Times New Roman" w:ascii="Arial" w:hAnsi="Arial"/>
          <w:b w:val="false"/>
          <w:bCs w:val="false"/>
          <w:i/>
          <w:iCs/>
          <w:color w:val="auto"/>
          <w:sz w:val="22"/>
          <w:szCs w:val="22"/>
          <w:u w:val="none"/>
          <w:lang w:val="ca-ES" w:eastAsia="zh-CN" w:bidi="hi-IN"/>
        </w:rPr>
        <w:t xml:space="preserve">□ Menys de 50    </w:t>
        <w:tab/>
        <w:t xml:space="preserve"> □ 50 o més </w:t>
      </w:r>
    </w:p>
    <w:p>
      <w:pPr>
        <w:pStyle w:val="Normal"/>
        <w:widowControl/>
        <w:numPr>
          <w:ilvl w:val="0"/>
          <w:numId w:val="2"/>
        </w:numPr>
        <w:tabs>
          <w:tab w:val="clear" w:pos="720"/>
        </w:tabs>
        <w:bidi w:val="0"/>
        <w:spacing w:lineRule="auto" w:line="276" w:before="0" w:after="0"/>
        <w:ind w:hanging="0" w:left="0" w:right="0"/>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Normal"/>
        <w:widowControl/>
        <w:tabs>
          <w:tab w:val="clear" w:pos="720"/>
        </w:tabs>
        <w:bidi w:val="0"/>
        <w:spacing w:lineRule="auto" w:line="276" w:before="0" w:after="0"/>
        <w:ind w:hanging="0" w:left="0" w:right="0"/>
        <w:jc w:val="both"/>
        <w:rPr>
          <w:rFonts w:ascii="Arial" w:hAnsi="Arial"/>
          <w:b/>
          <w:bCs/>
          <w:i/>
          <w:iCs/>
          <w:color w:val="000000"/>
          <w:sz w:val="22"/>
          <w:szCs w:val="22"/>
          <w:u w:val="single"/>
          <w:lang w:val="ca-ES"/>
        </w:rPr>
      </w:pPr>
      <w:r>
        <w:rPr>
          <w:rFonts w:ascii="Arial" w:hAnsi="Arial"/>
          <w:b/>
          <w:bCs/>
          <w:i/>
          <w:iCs/>
          <w:color w:val="000000"/>
          <w:sz w:val="22"/>
          <w:szCs w:val="22"/>
          <w:u w:val="single"/>
          <w:lang w:val="ca-ES"/>
        </w:rPr>
      </w:r>
    </w:p>
    <w:p>
      <w:pPr>
        <w:pStyle w:val="Normal"/>
        <w:spacing w:lineRule="auto" w:line="276"/>
        <w:jc w:val="both"/>
        <w:rPr>
          <w:rFonts w:ascii="Arial" w:hAnsi="Arial"/>
          <w:sz w:val="22"/>
          <w:szCs w:val="22"/>
        </w:rPr>
      </w:pPr>
      <w:r>
        <w:rPr>
          <w:rFonts w:ascii="Arial" w:hAnsi="Arial"/>
          <w:b/>
          <w:bCs/>
          <w:i/>
          <w:iCs/>
          <w:color w:val="000000"/>
          <w:sz w:val="22"/>
          <w:szCs w:val="22"/>
          <w:u w:val="none"/>
          <w:lang w:val="ca-ES"/>
        </w:rPr>
        <w:t>ALTRES DECLARACIONS RESPONSABLES:</w:t>
      </w:r>
    </w:p>
    <w:p>
      <w:pPr>
        <w:pStyle w:val="Normal"/>
        <w:spacing w:lineRule="auto" w:line="276"/>
        <w:jc w:val="both"/>
        <w:rPr>
          <w:rFonts w:ascii="Arial" w:hAnsi="Arial"/>
          <w:b/>
          <w:bCs/>
          <w:i/>
          <w:iCs/>
          <w:color w:val="000000"/>
          <w:sz w:val="22"/>
          <w:szCs w:val="22"/>
          <w:u w:val="none"/>
          <w:lang w:val="ca-ES"/>
        </w:rPr>
      </w:pPr>
      <w:r>
        <w:rPr>
          <w:rFonts w:ascii="Arial" w:hAnsi="Arial"/>
          <w:b/>
          <w:bCs/>
          <w:i/>
          <w:iCs/>
          <w:color w:val="000000"/>
          <w:sz w:val="22"/>
          <w:szCs w:val="22"/>
          <w:u w:val="none"/>
          <w:lang w:val="ca-ES"/>
        </w:rPr>
      </w:r>
    </w:p>
    <w:p>
      <w:pPr>
        <w:pStyle w:val="Normal"/>
        <w:numPr>
          <w:ilvl w:val="0"/>
          <w:numId w:val="2"/>
        </w:numPr>
        <w:tabs>
          <w:tab w:val="clear" w:pos="720"/>
          <w:tab w:val="left" w:pos="540" w:leader="none"/>
        </w:tabs>
        <w:spacing w:lineRule="auto" w:line="276" w:before="0" w:after="0"/>
        <w:ind w:hanging="0" w:left="0" w:right="0"/>
        <w:jc w:val="both"/>
        <w:rPr>
          <w:rFonts w:ascii="Arial" w:hAnsi="Arial"/>
          <w:sz w:val="22"/>
          <w:szCs w:val="22"/>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lang w:val="ca-ES"/>
        </w:rPr>
        <w:t xml:space="preserve">En cas d’estar </w:t>
      </w:r>
      <w:r>
        <w:rPr>
          <w:rFonts w:eastAsia="Arial" w:cs="Arial" w:ascii="Arial" w:hAnsi="Arial"/>
          <w:b w:val="false"/>
          <w:bCs w:val="false"/>
          <w:i/>
          <w:iCs/>
          <w:color w:val="auto"/>
          <w:sz w:val="22"/>
          <w:szCs w:val="22"/>
          <w:u w:val="single"/>
          <w:lang w:val="ca-ES"/>
        </w:rPr>
        <w:t>inscrit</w:t>
      </w:r>
      <w:r>
        <w:rPr>
          <w:rFonts w:eastAsia="Arial" w:cs="Arial" w:ascii="Arial" w:hAnsi="Arial"/>
          <w:b w:val="false"/>
          <w:bCs w:val="false"/>
          <w:i/>
          <w:iCs/>
          <w:color w:val="auto"/>
          <w:sz w:val="22"/>
          <w:szCs w:val="22"/>
          <w:u w:val="none"/>
          <w:lang w:val="ca-ES"/>
        </w:rPr>
        <w:t xml:space="preserve"> al Registre de Licitadors de la Generalitat de Catalunya (</w:t>
      </w:r>
      <w:r>
        <w:rPr>
          <w:rFonts w:eastAsia="Arial" w:cs="Arial" w:ascii="Arial" w:hAnsi="Arial"/>
          <w:b w:val="false"/>
          <w:bCs w:val="false"/>
          <w:i/>
          <w:iCs/>
          <w:color w:val="auto"/>
          <w:sz w:val="22"/>
          <w:szCs w:val="22"/>
          <w:u w:val="single"/>
          <w:lang w:val="ca-ES"/>
        </w:rPr>
        <w:t>RELI</w:t>
      </w:r>
      <w:r>
        <w:rPr>
          <w:rFonts w:eastAsia="Arial" w:cs="Arial" w:ascii="Arial" w:hAnsi="Arial"/>
          <w:b w:val="false"/>
          <w:bCs w:val="false"/>
          <w:i/>
          <w:iCs/>
          <w:color w:val="auto"/>
          <w:sz w:val="22"/>
          <w:szCs w:val="22"/>
          <w:u w:val="none"/>
          <w:lang w:val="ca-ES"/>
        </w:rPr>
        <w:t>) i/o de l'Administració de l'Estat (</w:t>
      </w:r>
      <w:r>
        <w:rPr>
          <w:rFonts w:eastAsia="Arial" w:cs="Arial" w:ascii="Arial" w:hAnsi="Arial"/>
          <w:b w:val="false"/>
          <w:bCs w:val="false"/>
          <w:i/>
          <w:iCs/>
          <w:color w:val="auto"/>
          <w:sz w:val="22"/>
          <w:szCs w:val="22"/>
          <w:u w:val="single"/>
          <w:lang w:val="ca-ES"/>
        </w:rPr>
        <w:t>ROLECE</w:t>
      </w:r>
      <w:r>
        <w:rPr>
          <w:rFonts w:eastAsia="Arial" w:cs="Arial" w:ascii="Arial" w:hAnsi="Arial"/>
          <w:b w:val="false"/>
          <w:bCs w:val="false"/>
          <w:i/>
          <w:iCs/>
          <w:color w:val="auto"/>
          <w:sz w:val="22"/>
          <w:szCs w:val="22"/>
          <w:u w:val="none"/>
          <w:lang w:val="ca-ES"/>
        </w:rPr>
        <w:t>), autoritza a l’Ajuntament de Granollers a la seva consulta, i declara que la informació continguda és correcta.</w:t>
      </w:r>
    </w:p>
    <w:p>
      <w:pPr>
        <w:pStyle w:val="Normal"/>
        <w:numPr>
          <w:ilvl w:val="0"/>
          <w:numId w:val="2"/>
        </w:numPr>
        <w:tabs>
          <w:tab w:val="clear" w:pos="720"/>
          <w:tab w:val="left" w:pos="540" w:leader="none"/>
        </w:tabs>
        <w:spacing w:lineRule="auto" w:line="276" w:before="0" w:after="0"/>
        <w:ind w:hanging="0" w:left="0" w:right="0"/>
        <w:jc w:val="both"/>
        <w:rPr>
          <w:rFonts w:ascii="Arial" w:hAnsi="Arial" w:eastAsia="Arial" w:cs="Arial"/>
          <w:b w:val="false"/>
          <w:bCs w:val="false"/>
          <w:color w:val="auto"/>
          <w:sz w:val="22"/>
          <w:szCs w:val="22"/>
          <w:u w:val="none"/>
        </w:rPr>
      </w:pPr>
      <w:r>
        <w:rPr>
          <w:rFonts w:eastAsia="Arial" w:cs="Arial" w:ascii="Arial" w:hAnsi="Arial"/>
          <w:b w:val="false"/>
          <w:bCs w:val="false"/>
          <w:color w:val="auto"/>
          <w:sz w:val="22"/>
          <w:szCs w:val="22"/>
          <w:u w:val="none"/>
        </w:rPr>
      </w:r>
    </w:p>
    <w:p>
      <w:pPr>
        <w:pStyle w:val="Normal"/>
        <w:numPr>
          <w:ilvl w:val="0"/>
          <w:numId w:val="2"/>
        </w:numPr>
        <w:tabs>
          <w:tab w:val="clear" w:pos="720"/>
          <w:tab w:val="left" w:pos="540" w:leader="none"/>
        </w:tabs>
        <w:spacing w:lineRule="auto" w:line="276" w:before="0" w:after="0"/>
        <w:ind w:hanging="0" w:left="0" w:right="0"/>
        <w:jc w:val="both"/>
        <w:rPr>
          <w:rFonts w:ascii="Arial" w:hAnsi="Arial"/>
          <w:sz w:val="22"/>
          <w:szCs w:val="22"/>
        </w:rPr>
      </w:pPr>
      <w:r>
        <w:rPr>
          <w:rFonts w:ascii="Arial" w:hAnsi="Arial"/>
          <w:i/>
          <w:iCs/>
          <w:color w:val="000000"/>
          <w:sz w:val="22"/>
          <w:szCs w:val="22"/>
          <w:lang w:val="ca-ES"/>
        </w:rPr>
        <w:t xml:space="preserve">2.-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Normal"/>
        <w:numPr>
          <w:ilvl w:val="0"/>
          <w:numId w:val="2"/>
        </w:numP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Normal"/>
        <w:numPr>
          <w:ilvl w:val="0"/>
          <w:numId w:val="2"/>
        </w:numPr>
        <w:tabs>
          <w:tab w:val="clear" w:pos="720"/>
          <w:tab w:val="left" w:pos="540" w:leader="none"/>
        </w:tabs>
        <w:spacing w:lineRule="auto" w:line="276" w:before="0" w:after="0"/>
        <w:ind w:hanging="0" w:left="0" w:right="0"/>
        <w:jc w:val="both"/>
        <w:rPr>
          <w:rFonts w:ascii="Arial" w:hAnsi="Arial"/>
          <w:sz w:val="22"/>
          <w:szCs w:val="22"/>
        </w:rPr>
      </w:pPr>
      <w:r>
        <w:rPr>
          <w:rFonts w:ascii="Arial" w:hAnsi="Arial"/>
          <w:i/>
          <w:iCs/>
          <w:color w:val="000000"/>
          <w:sz w:val="22"/>
          <w:szCs w:val="22"/>
          <w:lang w:val="ca-ES"/>
        </w:rPr>
        <w:t xml:space="preserve">3.- </w:t>
      </w:r>
      <w:r>
        <w:rPr>
          <w:rFonts w:eastAsia="Helv" w:cs="Helv" w:ascii="Arial" w:hAnsi="Arial"/>
          <w:b w:val="false"/>
          <w:i/>
          <w:iCs/>
          <w:color w:val="000000"/>
          <w:sz w:val="22"/>
          <w:szCs w:val="22"/>
          <w:lang w:val="ca-ES"/>
        </w:rPr>
        <w:t xml:space="preserve">En el cas que el licitador compti amb 50 o més treballadors o treballadores, el </w:t>
      </w:r>
      <w:r>
        <w:rPr>
          <w:rFonts w:eastAsia="Helv" w:cs="Helv" w:ascii="Arial" w:hAnsi="Arial"/>
          <w:b w:val="false"/>
          <w:i/>
          <w:iCs/>
          <w:color w:val="000000"/>
          <w:sz w:val="22"/>
          <w:szCs w:val="22"/>
          <w:u w:val="single"/>
          <w:lang w:val="ca-ES"/>
        </w:rPr>
        <w:t>2 % de la plantilla estarà composta per persones amb discapacitat</w:t>
      </w:r>
      <w:r>
        <w:rPr>
          <w:rFonts w:eastAsia="Helv" w:cs="Helv" w:ascii="Arial" w:hAnsi="Arial"/>
          <w:b w:val="false"/>
          <w:i/>
          <w:iCs/>
          <w:color w:val="000000"/>
          <w:sz w:val="22"/>
          <w:szCs w:val="22"/>
          <w:lang w:val="ca-ES"/>
        </w:rPr>
        <w:t>, segons estableix el Reial Decret Legislatiu 1/2013  pel qual s'aprova el text refós de la Llei general de drets de les persones amb discapacitat i de la seva inclusió social.</w:t>
      </w:r>
    </w:p>
    <w:p>
      <w:pPr>
        <w:pStyle w:val="Normal"/>
        <w:numPr>
          <w:ilvl w:val="0"/>
          <w:numId w:val="2"/>
        </w:numP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2"/>
        </w:numPr>
        <w:tabs>
          <w:tab w:val="clear" w:pos="720"/>
          <w:tab w:val="left" w:pos="540" w:leader="none"/>
        </w:tabs>
        <w:spacing w:lineRule="auto" w:line="276" w:before="0" w:after="0"/>
        <w:ind w:hanging="0" w:left="0" w:right="0"/>
        <w:jc w:val="both"/>
        <w:rPr>
          <w:rFonts w:ascii="Arial" w:hAnsi="Arial"/>
          <w:sz w:val="22"/>
          <w:szCs w:val="22"/>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es disposa obligatòriament d’un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 i aquest està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Normal"/>
        <w:numPr>
          <w:ilvl w:val="0"/>
          <w:numId w:val="2"/>
        </w:numP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Normal"/>
        <w:numPr>
          <w:ilvl w:val="0"/>
          <w:numId w:val="2"/>
        </w:numPr>
        <w:tabs>
          <w:tab w:val="clear" w:pos="720"/>
          <w:tab w:val="left" w:pos="540" w:leader="none"/>
        </w:tabs>
        <w:spacing w:lineRule="auto" w:line="276" w:before="0" w:after="0"/>
        <w:ind w:hanging="0" w:left="0" w:right="0"/>
        <w:jc w:val="both"/>
        <w:rPr>
          <w:rFonts w:ascii="Arial" w:hAnsi="Arial"/>
          <w:sz w:val="22"/>
          <w:szCs w:val="22"/>
        </w:rPr>
      </w:pPr>
      <w:r>
        <w:rPr>
          <w:rFonts w:ascii="Arial" w:hAnsi="Arial"/>
          <w:i/>
          <w:iCs/>
          <w:color w:val="000000"/>
          <w:sz w:val="22"/>
          <w:szCs w:val="22"/>
          <w:lang w:val="ca-ES"/>
        </w:rPr>
        <w:t>5.- En el supòsit que concorri exempció d'IVA, el licitador haurà de presentar declaració de què es troba exempt, el motiu i que són vigents les circumstàncies que donaren lloc a la dita exempció.</w:t>
      </w:r>
    </w:p>
    <w:p>
      <w:pPr>
        <w:pStyle w:val="Normal"/>
        <w:numPr>
          <w:ilvl w:val="0"/>
          <w:numId w:val="2"/>
        </w:numPr>
        <w:tabs>
          <w:tab w:val="clear" w:pos="720"/>
          <w:tab w:val="left" w:pos="540" w:leader="none"/>
        </w:tabs>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Normal"/>
        <w:numPr>
          <w:ilvl w:val="0"/>
          <w:numId w:val="2"/>
        </w:numPr>
        <w:spacing w:lineRule="auto" w:line="276" w:before="0" w:after="0"/>
        <w:ind w:hanging="0" w:left="0" w:right="0"/>
        <w:jc w:val="both"/>
        <w:rPr>
          <w:rFonts w:ascii="Arial" w:hAnsi="Arial"/>
          <w:sz w:val="22"/>
          <w:szCs w:val="22"/>
        </w:rPr>
      </w:pPr>
      <w:r>
        <w:rPr>
          <w:rFonts w:eastAsia="Times New Roman" w:cs="Times New Roman" w:ascii="Arial" w:hAnsi="Arial"/>
          <w:bCs w:val="false"/>
          <w:i/>
          <w:iCs/>
          <w:color w:val="000000"/>
          <w:sz w:val="22"/>
          <w:szCs w:val="22"/>
          <w:lang w:val="ca-ES" w:eastAsia="zh-CN" w:bidi="hi-IN"/>
        </w:rPr>
        <w:t xml:space="preserve">6.- 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Normal"/>
        <w:numPr>
          <w:ilvl w:val="0"/>
          <w:numId w:val="2"/>
        </w:numPr>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Normal"/>
        <w:numPr>
          <w:ilvl w:val="0"/>
          <w:numId w:val="2"/>
        </w:numPr>
        <w:spacing w:lineRule="auto" w:line="276" w:before="0" w:after="0"/>
        <w:ind w:hanging="0" w:left="0" w:right="0"/>
        <w:jc w:val="both"/>
        <w:rPr>
          <w:rFonts w:ascii="Arial" w:hAnsi="Arial"/>
          <w:sz w:val="22"/>
          <w:szCs w:val="22"/>
        </w:rPr>
      </w:pPr>
      <w:r>
        <w:rPr>
          <w:rFonts w:eastAsia="Arial" w:cs="Arial" w:ascii="Arial" w:hAnsi="Arial"/>
          <w:b w:val="false"/>
          <w:i/>
          <w:iCs/>
          <w:color w:val="000000"/>
          <w:sz w:val="22"/>
          <w:szCs w:val="22"/>
          <w:lang w:val="ca-ES"/>
        </w:rPr>
        <w:t>7.-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Normal"/>
        <w:numPr>
          <w:ilvl w:val="0"/>
          <w:numId w:val="2"/>
        </w:numPr>
        <w:spacing w:lineRule="auto" w:line="276" w:before="0" w:after="0"/>
        <w:ind w:hanging="0" w:left="0" w:right="0"/>
        <w:jc w:val="both"/>
        <w:rPr>
          <w:rFonts w:ascii="Arial" w:hAnsi="Arial" w:eastAsia="Helv" w:cs="Helv"/>
          <w:b w:val="false"/>
          <w:i/>
          <w:iCs/>
          <w:color w:val="000000"/>
          <w:sz w:val="22"/>
          <w:szCs w:val="22"/>
          <w:lang w:val="ca-ES"/>
        </w:rPr>
      </w:pPr>
      <w:r>
        <w:rPr>
          <w:rFonts w:eastAsia="Helv" w:cs="Helv" w:ascii="Arial" w:hAnsi="Arial"/>
          <w:b w:val="false"/>
          <w:i/>
          <w:iCs/>
          <w:color w:val="000000"/>
          <w:sz w:val="22"/>
          <w:szCs w:val="22"/>
          <w:lang w:val="ca-ES"/>
        </w:rPr>
      </w:r>
    </w:p>
    <w:p>
      <w:pPr>
        <w:pStyle w:val="Normal"/>
        <w:numPr>
          <w:ilvl w:val="0"/>
          <w:numId w:val="2"/>
        </w:numPr>
        <w:tabs>
          <w:tab w:val="clear" w:pos="720"/>
          <w:tab w:val="left" w:pos="540" w:leader="none"/>
        </w:tabs>
        <w:spacing w:lineRule="auto" w:line="276" w:before="0" w:after="0"/>
        <w:ind w:hanging="0" w:left="0" w:right="0"/>
        <w:jc w:val="both"/>
        <w:rPr>
          <w:rFonts w:ascii="Arial" w:hAnsi="Arial"/>
          <w:sz w:val="22"/>
          <w:szCs w:val="22"/>
        </w:rPr>
      </w:pPr>
      <w:r>
        <w:rPr>
          <w:rFonts w:eastAsia="Times New Roman" w:cs="Times New Roman" w:ascii="Arial" w:hAnsi="Arial"/>
          <w:b w:val="false"/>
          <w:bCs w:val="false"/>
          <w:i/>
          <w:iCs/>
          <w:color w:val="000000"/>
          <w:sz w:val="22"/>
          <w:szCs w:val="22"/>
          <w:lang w:val="ca-ES" w:eastAsia="zh-CN" w:bidi="hi-IN"/>
        </w:rPr>
        <w:t xml:space="preserve">8.-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Normal"/>
        <w:widowControl/>
        <w:numPr>
          <w:ilvl w:val="0"/>
          <w:numId w:val="0"/>
        </w:numPr>
        <w:bidi w:val="0"/>
        <w:spacing w:lineRule="auto" w:line="276" w:before="57" w:after="57"/>
        <w:ind w:hanging="0" w:left="170" w:right="0"/>
        <w:jc w:val="both"/>
        <w:rPr>
          <w:rFonts w:ascii="Arial" w:hAnsi="Arial"/>
          <w:sz w:val="22"/>
          <w:szCs w:val="22"/>
        </w:rPr>
      </w:pPr>
      <w:r>
        <w:rPr>
          <w:rFonts w:ascii="Arial" w:hAnsi="Arial"/>
          <w:sz w:val="22"/>
          <w:szCs w:val="22"/>
        </w:rPr>
      </w:r>
    </w:p>
    <w:p>
      <w:pPr>
        <w:pStyle w:val="Normal"/>
        <w:widowControl/>
        <w:numPr>
          <w:ilvl w:val="0"/>
          <w:numId w:val="0"/>
        </w:numPr>
        <w:bidi w:val="0"/>
        <w:spacing w:lineRule="auto" w:line="276" w:before="57" w:after="57"/>
        <w:ind w:hanging="0" w:left="170" w:right="0"/>
        <w:jc w:val="both"/>
        <w:rPr/>
      </w:pPr>
      <w:r>
        <w:rPr>
          <w:rStyle w:val="Fuentedeprrafopredeter1"/>
          <w:rFonts w:eastAsia="Helv" w:cs="Helv" w:ascii="Arial" w:hAnsi="Arial"/>
          <w:b w:val="false"/>
          <w:bCs/>
          <w:i/>
          <w:iCs/>
          <w:caps w:val="false"/>
          <w:smallCaps w:val="false"/>
          <w:strike w:val="false"/>
          <w:dstrike w:val="false"/>
          <w:color w:val="000000"/>
          <w:spacing w:val="0"/>
          <w:sz w:val="22"/>
          <w:szCs w:val="22"/>
          <w:u w:val="none"/>
          <w:lang w:val="ca-ES" w:eastAsia="es-ES" w:bidi="hi-IN"/>
        </w:rPr>
        <w:t>(Lloc, data i signatura del licitador)</w:t>
      </w:r>
      <w:r>
        <w:rPr>
          <w:rFonts w:eastAsia="Times New Roman" w:cs="Arial" w:ascii="Arial" w:hAnsi="Arial"/>
          <w:b/>
          <w:bCs/>
          <w:i/>
          <w:iCs/>
          <w:color w:val="000000"/>
          <w:sz w:val="22"/>
          <w:szCs w:val="22"/>
          <w:u w:val="none"/>
          <w:lang w:val="ca-ES" w:eastAsia="zh-CN" w:bidi="hi-IN"/>
        </w:rPr>
        <w:t>.</w:t>
      </w:r>
      <w:r>
        <w:rPr>
          <w:rFonts w:eastAsia="Times New Roman" w:cs="Arial" w:ascii="Arial" w:hAnsi="Arial"/>
          <w:b w:val="false"/>
          <w:bCs w:val="false"/>
          <w:i/>
          <w:iCs/>
          <w:color w:val="000000"/>
          <w:sz w:val="22"/>
          <w:szCs w:val="22"/>
          <w:u w:val="none"/>
          <w:lang w:val="ca-ES" w:eastAsia="zh-CN" w:bidi="hi-IN"/>
        </w:rPr>
        <w:t>»</w:t>
      </w:r>
    </w:p>
    <w:sectPr>
      <w:headerReference w:type="default" r:id="rId2"/>
      <w:footerReference w:type="default" r:id="rId3"/>
      <w:type w:val="nextPage"/>
      <w:pgSz w:w="11906" w:h="16838"/>
      <w:pgMar w:left="1418" w:right="1134" w:gutter="0" w:header="624" w:top="3402" w:footer="720" w:bottom="1911"/>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distT="0" distB="0" distL="0" distR="0" simplePos="0" relativeHeight="9" behindDoc="0" locked="0" layoutInCell="0" allowOverlap="1">
          <wp:simplePos x="0" y="0"/>
          <wp:positionH relativeFrom="column">
            <wp:posOffset>3493135</wp:posOffset>
          </wp:positionH>
          <wp:positionV relativeFrom="paragraph">
            <wp:posOffset>-264795</wp:posOffset>
          </wp:positionV>
          <wp:extent cx="3166745" cy="897255"/>
          <wp:effectExtent l="0" t="0" r="0" b="0"/>
          <wp:wrapSquare wrapText="largest"/>
          <wp:docPr id="2"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2"/>
                  <pic:cNvPicPr>
                    <a:picLocks noChangeAspect="1" noChangeArrowheads="1"/>
                  </pic:cNvPicPr>
                </pic:nvPicPr>
                <pic:blipFill>
                  <a:blip r:embed="rId1"/>
                  <a:stretch>
                    <a:fillRect/>
                  </a:stretch>
                </pic:blipFill>
                <pic:spPr bwMode="auto">
                  <a:xfrm>
                    <a:off x="0" y="0"/>
                    <a:ext cx="3166745" cy="897255"/>
                  </a:xfrm>
                  <a:prstGeom prst="rect">
                    <a:avLst/>
                  </a:prstGeom>
                  <a:noFill/>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s-ES" w:eastAsia="es-ES"/>
      </w:rPr>
    </w:pPr>
    <w:r>
      <w:rPr>
        <w:lang w:val="es-ES" w:eastAsia="es-ES"/>
      </w:rPr>
      <w:drawing>
        <wp:anchor distT="0" distB="0" distL="0" distR="0" simplePos="0" relativeHeight="5" behindDoc="0" locked="0" layoutInCell="1" allowOverlap="1">
          <wp:simplePos x="0" y="0"/>
          <wp:positionH relativeFrom="column">
            <wp:posOffset>2295525</wp:posOffset>
          </wp:positionH>
          <wp:positionV relativeFrom="paragraph">
            <wp:posOffset>635</wp:posOffset>
          </wp:positionV>
          <wp:extent cx="4003040" cy="1335405"/>
          <wp:effectExtent l="0" t="0" r="0" b="0"/>
          <wp:wrapNone/>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4003040" cy="133540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none"/>
      <w:suff w:val="nothing"/>
      <w:lvlText w:val=""/>
      <w:lvlJc w:val="left"/>
      <w:pPr>
        <w:tabs>
          <w:tab w:val="num" w:pos="0"/>
        </w:tabs>
        <w:ind w:left="624" w:hanging="624"/>
      </w:pPr>
      <w:rPr>
        <w:b/>
        <w:color w:val="auto"/>
        <w:sz w:val="22"/>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num w:numId="1">
    <w:abstractNumId w:val="1"/>
  </w:num>
  <w:num w:numId="2">
    <w:abstractNumId w:val="2"/>
  </w:num>
</w:numbering>
</file>

<file path=word/settings.xml><?xml version="1.0" encoding="utf-8"?>
<w:settings xmlns:w="http://schemas.openxmlformats.org/wordprocessingml/2006/main">
  <w:zoom w:percent="120"/>
  <w:mirrorMargins/>
  <w:defaultTabStop w:val="720"/>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Arial Unicode MS"/>
        <w:sz w:val="24"/>
        <w:szCs w:val="24"/>
        <w:lang w:val="es-ES" w:eastAsia="zh-CN" w:bidi="hi-IN"/>
      </w:rPr>
    </w:rPrDefault>
    <w:pPrDefault>
      <w:pPr>
        <w:suppressAutoHyphens w:val="true"/>
      </w:pPr>
    </w:pPrDefault>
  </w:docDefaults>
  <w:style w:type="paragraph" w:styleId="Normal">
    <w:name w:val="Normal"/>
    <w:qFormat/>
    <w:pPr>
      <w:widowControl/>
      <w:kinsoku w:val="true"/>
      <w:overflowPunct w:val="true"/>
      <w:autoSpaceDE w:val="true"/>
      <w:bidi w:val="0"/>
    </w:pPr>
    <w:rPr>
      <w:rFonts w:ascii="Times New Roman" w:hAnsi="Times New Roman" w:eastAsia="Times New Roman" w:cs="Times New Roman"/>
      <w:color w:val="auto"/>
      <w:sz w:val="24"/>
      <w:szCs w:val="20"/>
      <w:lang w:val="ca-ES" w:eastAsia="zh-CN" w:bidi="hi-IN"/>
    </w:rPr>
  </w:style>
  <w:style w:type="paragraph" w:styleId="Heading1">
    <w:name w:val="heading 1"/>
    <w:basedOn w:val="Normal"/>
    <w:next w:val="Normal"/>
    <w:qFormat/>
    <w:pPr>
      <w:keepNext w:val="true"/>
      <w:numPr>
        <w:ilvl w:val="0"/>
        <w:numId w:val="1"/>
      </w:numPr>
      <w:jc w:val="center"/>
      <w:outlineLvl w:val="0"/>
    </w:pPr>
    <w:rPr>
      <w:u w:val="single"/>
      <w:lang w:val="ca-ES"/>
    </w:rPr>
  </w:style>
  <w:style w:type="character" w:styleId="Fuentedeprrafopredeter">
    <w:name w:val="Fuente de párrafo predeter."/>
    <w:qFormat/>
    <w:rPr/>
  </w:style>
  <w:style w:type="character" w:styleId="WW8Num2z0">
    <w:name w:val="WW8Num2z0"/>
    <w:qFormat/>
    <w:rPr>
      <w:rFonts w:ascii="Arial" w:hAnsi="Arial" w:cs="Arial"/>
      <w:b/>
      <w:bCs/>
      <w:i w:val="false"/>
      <w:iCs w:val="false"/>
      <w:color w:val="auto"/>
      <w:sz w:val="18"/>
      <w:szCs w:val="18"/>
      <w:lang w:val="ca-E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Hyperlink">
    <w:name w:val="Hyperlink"/>
    <w:rPr>
      <w:color w:val="000080"/>
      <w:u w:val="single"/>
      <w:lang w:val="zxx" w:eastAsia="zxx" w:bidi="zxx"/>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Arial" w:hAnsi="Arial" w:eastAsia="Arial Unicode MS" w:cs="Arial Unicode MS"/>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ndex">
    <w:name w:val="Índex"/>
    <w:basedOn w:val="Normal"/>
    <w:qFormat/>
    <w:pPr>
      <w:suppressLineNumbers/>
    </w:pPr>
    <w:rPr/>
  </w:style>
  <w:style w:type="paragraph" w:styleId="Capaleraipeudepgina">
    <w:name w:val="Capçalera i peu de pàgina"/>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252" w:leader="none"/>
        <w:tab w:val="right" w:pos="8504" w:leader="none"/>
      </w:tabs>
    </w:pPr>
    <w:rPr/>
  </w:style>
  <w:style w:type="paragraph" w:styleId="Footer">
    <w:name w:val="footer"/>
    <w:basedOn w:val="Normal"/>
    <w:pPr>
      <w:tabs>
        <w:tab w:val="clear" w:pos="720"/>
        <w:tab w:val="center" w:pos="4252" w:leader="none"/>
        <w:tab w:val="right" w:pos="8504" w:leader="none"/>
      </w:tabs>
    </w:pPr>
    <w:rPr/>
  </w:style>
  <w:style w:type="paragraph" w:styleId="Textoindependiente2">
    <w:name w:val="Texto independiente 2"/>
    <w:basedOn w:val="Normal"/>
    <w:qFormat/>
    <w:pPr>
      <w:jc w:val="both"/>
    </w:pPr>
    <w:rPr>
      <w:rFonts w:ascii="Arial" w:hAnsi="Arial" w:cs="Arial"/>
      <w:sz w:val="22"/>
      <w:lang w:val="ca-ES"/>
    </w:rPr>
  </w:style>
  <w:style w:type="paragraph" w:styleId="Title">
    <w:name w:val="Title"/>
    <w:basedOn w:val="Normal"/>
    <w:next w:val="Subtitle"/>
    <w:qFormat/>
    <w:pPr>
      <w:tabs>
        <w:tab w:val="clear" w:pos="720"/>
        <w:tab w:val="left" w:pos="576" w:leader="none"/>
        <w:tab w:val="left" w:pos="1296" w:leader="none"/>
        <w:tab w:val="left" w:pos="2016" w:leader="none"/>
        <w:tab w:val="left" w:pos="2736" w:leader="none"/>
        <w:tab w:val="left" w:pos="3456" w:leader="none"/>
        <w:tab w:val="left" w:pos="4176" w:leader="none"/>
      </w:tabs>
      <w:suppressAutoHyphens w:val="true"/>
      <w:jc w:val="center"/>
    </w:pPr>
    <w:rPr>
      <w:rFonts w:ascii="Arial" w:hAnsi="Arial" w:cs="Arial"/>
      <w:b/>
      <w:spacing w:val="-3"/>
      <w:sz w:val="24"/>
    </w:rPr>
  </w:style>
  <w:style w:type="paragraph" w:styleId="Subtitle">
    <w:name w:val="Subtitle"/>
    <w:basedOn w:val="Encapalament"/>
    <w:next w:val="BodyText"/>
    <w:qFormat/>
    <w:pPr>
      <w:jc w:val="center"/>
    </w:pPr>
    <w:rPr>
      <w:i/>
      <w:iCs/>
      <w:sz w:val="28"/>
      <w:szCs w:val="28"/>
    </w:rPr>
  </w:style>
  <w:style w:type="paragraph" w:styleId="Contingutdelataula">
    <w:name w:val="Contingut de la taula"/>
    <w:basedOn w:val="Normal"/>
    <w:qFormat/>
    <w:pPr>
      <w:widowControl w:val="false"/>
      <w:suppressLineNumbers/>
    </w:pPr>
    <w:rPr/>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AJUNTAMENT</Template>
  <TotalTime>2</TotalTime>
  <Application>LibreOffice/26.2.4.2$Windows_X86_64 LibreOffice_project/0229ac93fcf0d7cbc6376066c6f35021cef002dc</Application>
  <AppVersion>15.0000</AppVersion>
  <Pages>4</Pages>
  <Words>1068</Words>
  <Characters>6158</Characters>
  <CharactersWithSpaces>7227</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2026-07-30T11:31:12Z</dcterms:created>
  <dc:creator/>
  <dc:description/>
  <dc:language>es-ES</dc:language>
  <cp:lastModifiedBy/>
  <dcterms:modified xsi:type="dcterms:W3CDTF">2026-07-30T11:34:00Z</dcterms:modified>
  <cp:revision>4</cp:revision>
  <dc:subject/>
  <dc:title>AJUNTAMENT</dc:title>
</cp:coreProperties>
</file>