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both"/>
        <w:rPr>
          <w:rFonts w:ascii="Arial" w:hAnsi="Arial"/>
          <w:b/>
          <w:bCs/>
          <w:sz w:val="22"/>
          <w:szCs w:val="22"/>
        </w:rPr>
      </w:pPr>
      <w:r>
        <w:rPr>
          <w:rFonts w:ascii="Arial" w:hAnsi="Arial"/>
          <w:b/>
          <w:bCs/>
          <w:sz w:val="22"/>
          <w:szCs w:val="22"/>
        </w:rPr>
      </w:r>
    </w:p>
    <w:p>
      <w:pPr>
        <w:pStyle w:val="Normal"/>
        <w:bidi w:val="0"/>
        <w:jc w:val="both"/>
        <w:rPr>
          <w:rFonts w:ascii="Arial" w:hAnsi="Arial"/>
          <w:b/>
          <w:bCs/>
          <w:sz w:val="22"/>
          <w:szCs w:val="22"/>
        </w:rPr>
      </w:pPr>
      <w:r>
        <w:rPr>
          <w:rFonts w:ascii="Arial" w:hAnsi="Arial"/>
          <w:b/>
          <w:bCs/>
          <w:sz w:val="22"/>
          <w:szCs w:val="22"/>
        </w:rPr>
      </w:r>
    </w:p>
    <w:p>
      <w:pPr>
        <w:pStyle w:val="Normal"/>
        <w:bidi w:val="0"/>
        <w:jc w:val="left"/>
        <w:rPr>
          <w:rFonts w:ascii="Arial" w:hAnsi="Arial"/>
          <w:b/>
          <w:bCs/>
          <w:sz w:val="22"/>
          <w:szCs w:val="22"/>
        </w:rPr>
      </w:pPr>
      <w:r>
        <w:rPr>
          <w:rFonts w:ascii="Arial" w:hAnsi="Arial"/>
          <w:b/>
          <w:bCs/>
          <w:sz w:val="22"/>
          <w:szCs w:val="22"/>
        </w:rPr>
        <w:t>DECLARACIÓ RESPONSABLE</w:t>
      </w:r>
    </w:p>
    <w:p>
      <w:pPr>
        <w:pStyle w:val="BodyText"/>
        <w:bidi w:val="0"/>
        <w:jc w:val="left"/>
        <w:rPr>
          <w:rFonts w:ascii="Arial" w:hAnsi="Arial"/>
          <w:b w:val="false"/>
          <w:bCs w:val="false"/>
          <w:sz w:val="22"/>
          <w:szCs w:val="22"/>
        </w:rPr>
      </w:pPr>
      <w:r>
        <w:rPr>
          <w:rFonts w:ascii="Arial" w:hAnsi="Arial"/>
          <w:b w:val="false"/>
          <w:bCs w:val="false"/>
          <w:sz w:val="22"/>
          <w:szCs w:val="22"/>
        </w:rPr>
        <w:t xml:space="preserve">El licitador haurà de presentar en el sobre únic el següent </w:t>
      </w:r>
      <w:r>
        <w:rPr>
          <w:rFonts w:ascii="Arial" w:hAnsi="Arial"/>
          <w:b w:val="false"/>
          <w:bCs w:val="false"/>
          <w:sz w:val="22"/>
          <w:szCs w:val="22"/>
          <w:u w:val="single"/>
        </w:rPr>
        <w:t>model de declaració responsable</w:t>
      </w:r>
      <w:r>
        <w:rPr>
          <w:rFonts w:ascii="Arial" w:hAnsi="Arial"/>
          <w:b w:val="false"/>
          <w:bCs w:val="false"/>
          <w:sz w:val="22"/>
          <w:szCs w:val="22"/>
        </w:rPr>
        <w:t>:</w:t>
      </w:r>
    </w:p>
    <w:p>
      <w:pPr>
        <w:pStyle w:val="Normal"/>
        <w:bidi w:val="0"/>
        <w:spacing w:lineRule="auto" w:line="276"/>
        <w:jc w:val="both"/>
        <w:rPr>
          <w:rFonts w:ascii="Arial" w:hAnsi="Arial"/>
          <w:b/>
          <w:bCs/>
          <w:sz w:val="22"/>
          <w:szCs w:val="22"/>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Exp. 20.../...: Documentació administrativa per participar en el procediment obert simplificat abreujat (sumari) per a la contractació del servei ................................. , presentada per ................................." </w:t>
      </w:r>
      <w:r>
        <w:rPr>
          <w:rFonts w:eastAsia="Arial" w:cs="Arial" w:ascii="Arial" w:hAnsi="Arial"/>
          <w:b w:val="false"/>
          <w:bCs w:val="false"/>
          <w:i/>
          <w:iCs/>
          <w:color w:val="2A6099"/>
          <w:sz w:val="22"/>
          <w:szCs w:val="22"/>
          <w:u w:val="none"/>
          <w:shd w:fill="auto" w:val="clear"/>
          <w:lang w:val="ca-ES"/>
        </w:rPr>
        <w:t>(si hi ha divisió en lots, cal indicar el/s lot/s a què es presenten)</w:t>
      </w:r>
    </w:p>
    <w:p>
      <w:pPr>
        <w:pStyle w:val="Normal"/>
        <w:bidi w:val="0"/>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numPr>
          <w:ilvl w:val="0"/>
          <w:numId w:val="1"/>
        </w:numPr>
        <w:bidi w:val="0"/>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 xml:space="preserve">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 </w:t>
      </w:r>
      <w:r>
        <w:rPr>
          <w:rFonts w:eastAsia="Arial" w:cs="Arial" w:ascii="Arial" w:hAnsi="Arial"/>
          <w:b w:val="false"/>
          <w:bCs w:val="false"/>
          <w:i/>
          <w:color w:val="000000"/>
          <w:sz w:val="22"/>
          <w:szCs w:val="22"/>
          <w:u w:val="none"/>
          <w:shd w:fill="auto" w:val="clear"/>
          <w:lang w:val="ca-ES"/>
        </w:rPr>
        <w:t>la contracta</w:t>
      </w:r>
      <w:r>
        <w:rPr>
          <w:rFonts w:eastAsia="Arial" w:cs="Arial" w:ascii="Arial" w:hAnsi="Arial"/>
          <w:b w:val="false"/>
          <w:bCs w:val="false"/>
          <w:i/>
          <w:color w:val="000000"/>
          <w:sz w:val="22"/>
          <w:szCs w:val="22"/>
          <w:u w:val="none"/>
          <w:shd w:fill="FFFFFF" w:val="clear"/>
          <w:lang w:val="ca-ES"/>
        </w:rPr>
        <w:t>ci</w:t>
      </w:r>
      <w:r>
        <w:rPr>
          <w:rFonts w:eastAsia="Arial" w:cs="Arial" w:ascii="Arial" w:hAnsi="Arial"/>
          <w:b w:val="false"/>
          <w:i/>
          <w:color w:val="000000"/>
          <w:sz w:val="22"/>
          <w:szCs w:val="22"/>
          <w:u w:val="none"/>
          <w:shd w:fill="FFFFFF" w:val="clear"/>
          <w:lang w:val="ca-ES"/>
        </w:rPr>
        <w:t xml:space="preserve">ó </w:t>
      </w:r>
      <w:r>
        <w:rPr>
          <w:rFonts w:eastAsia="Arial" w:cs="Arial" w:ascii="Arial" w:hAnsi="Arial"/>
          <w:b w:val="false"/>
          <w:bCs w:val="false"/>
          <w:i/>
          <w:color w:val="000000"/>
          <w:sz w:val="22"/>
          <w:szCs w:val="22"/>
          <w:u w:val="none"/>
          <w:shd w:fill="FFFFFF" w:val="clear"/>
          <w:lang w:val="ca-ES"/>
        </w:rPr>
        <w:t xml:space="preserve">del servei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1"/>
        </w:numP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per participar a la licitació 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1"/>
        </w:numPr>
        <w:bidi w:val="0"/>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1"/>
        </w:numP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Helv" w:cs="Helv" w:ascii="Arial" w:hAnsi="Arial"/>
          <w:b w:val="false"/>
          <w:i/>
          <w:iCs/>
          <w:color w:val="auto"/>
          <w:sz w:val="22"/>
          <w:szCs w:val="22"/>
          <w:u w:val="none"/>
          <w:shd w:fill="auto" w:val="clear"/>
          <w:lang w:val="ca-ES"/>
        </w:rPr>
        <w:t xml:space="preserve">2- Que </w:t>
      </w:r>
      <w:r>
        <w:rPr>
          <w:rFonts w:eastAsia="Helv" w:cs="Helv" w:ascii="Arial" w:hAnsi="Arial"/>
          <w:b w:val="false"/>
          <w:i/>
          <w:iCs/>
          <w:color w:val="auto"/>
          <w:sz w:val="22"/>
          <w:szCs w:val="22"/>
          <w:u w:val="single"/>
          <w:shd w:fill="auto" w:val="clear"/>
          <w:lang w:val="ca-ES"/>
        </w:rPr>
        <w:t>disposa de la so</w:t>
      </w:r>
      <w:r>
        <w:rPr>
          <w:rFonts w:eastAsia="Arial" w:cs="Arial" w:ascii="Arial" w:hAnsi="Arial"/>
          <w:b w:val="false"/>
          <w:bCs w:val="false"/>
          <w:i/>
          <w:iCs/>
          <w:color w:val="auto"/>
          <w:sz w:val="22"/>
          <w:szCs w:val="22"/>
          <w:u w:val="single"/>
          <w:shd w:fill="auto" w:val="clear"/>
          <w:lang w:val="ca-ES"/>
        </w:rPr>
        <w:t>lvència</w:t>
      </w:r>
      <w:r>
        <w:rPr>
          <w:rFonts w:eastAsia="Arial" w:cs="Arial" w:ascii="Arial" w:hAnsi="Arial"/>
          <w:b w:val="false"/>
          <w:bCs w:val="false"/>
          <w:i/>
          <w:iCs/>
          <w:color w:val="auto"/>
          <w:sz w:val="22"/>
          <w:szCs w:val="22"/>
          <w:u w:val="none"/>
          <w:shd w:fill="auto" w:val="clear"/>
          <w:lang w:val="ca-ES"/>
        </w:rPr>
        <w:t xml:space="preserve"> indicada en la taula de dades bàsiques del contracte (*H) per participar en la present licitació.</w:t>
      </w:r>
    </w:p>
    <w:p>
      <w:pPr>
        <w:pStyle w:val="BodyText"/>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3.-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En el cas de presentar-se com  a UTE cada un dels empresaris que formin l'agrupació hauran de declarar aquesta circumstància.</w:t>
      </w:r>
    </w:p>
    <w:p>
      <w:pPr>
        <w:pStyle w:val="BodyText"/>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4.-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1"/>
        </w:numP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5.-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numPr>
          <w:ilvl w:val="0"/>
          <w:numId w:val="1"/>
        </w:numP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6.-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numPr>
          <w:ilvl w:val="0"/>
          <w:numId w:val="1"/>
        </w:numP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7.- Que l'empresa està inscrita en el Cens d’empresaris, professionals o retenidors de l’agencia estatal de l’Administració Tributaria, que reflecteix l’activitat efectivament desenvolupada en la data de participació en el procediment de licitació.</w:t>
      </w:r>
    </w:p>
    <w:p>
      <w:pPr>
        <w:pStyle w:val="BodyText"/>
        <w:bidi w:val="0"/>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1"/>
        </w:numP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 Que en cas de resultar proposat com adjudicatari, es compromet a aportar la documentació assenyalada en la clàusula VI del present plec.</w:t>
      </w:r>
    </w:p>
    <w:p>
      <w:pPr>
        <w:pStyle w:val="BodyText"/>
        <w:numPr>
          <w:ilvl w:val="0"/>
          <w:numId w:val="1"/>
        </w:numP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 xml:space="preserve">9.-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que cobreixi les necessitats objecte del contracte, d'acord amb la clàusula XI d'aquest plec.</w:t>
      </w:r>
    </w:p>
    <w:p>
      <w:pPr>
        <w:pStyle w:val="BodyText"/>
        <w:numPr>
          <w:ilvl w:val="0"/>
          <w:numId w:val="1"/>
        </w:numP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 xml:space="preserve">10.- 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1"/>
        </w:numP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 xml:space="preserve">11.- </w:t>
      </w:r>
      <w:r>
        <w:rPr>
          <w:rFonts w:eastAsia="Helv" w:cs="Helv" w:ascii="Arial" w:hAnsi="Arial"/>
          <w:b w:val="false"/>
          <w:i/>
          <w:iCs/>
          <w:color w:val="000000"/>
          <w:sz w:val="22"/>
          <w:szCs w:val="22"/>
          <w:shd w:fill="auto" w:val="clear"/>
          <w:lang w:val="ca-ES"/>
        </w:rPr>
        <w:t xml:space="preserve">Que el licitador, les empreses filials, els contractistes i els 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1"/>
        </w:numP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bidi w:val="0"/>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En el supòsit que aquestes empreses tinguin relació amb els paradisos fiscals sense incórrer en les actuacions il·legals descrites a l'apartat anterior, 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1"/>
        </w:numPr>
        <w:bidi w:val="0"/>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1"/>
        </w:numPr>
        <w:bidi w:val="0"/>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 xml:space="preserve">12.-  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1"/>
        </w:numP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 xml:space="preserve">13.- Que no discriminarà per raó de gènere, evitant a més, en tots els casos, l’ús del llenguatge i imatges sexistes. Aquesta obligació és extensiva a la documentació que presentin els licitadors. </w:t>
      </w:r>
    </w:p>
    <w:p>
      <w:pPr>
        <w:pStyle w:val="BodyText"/>
        <w:numPr>
          <w:ilvl w:val="0"/>
          <w:numId w:val="1"/>
        </w:numP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14.- Que el licitador compleix amb tots els requisits de gestió ambiental que disposa l’Ajuntament de Granollers.</w:t>
      </w:r>
    </w:p>
    <w:p>
      <w:pPr>
        <w:pStyle w:val="BodyText"/>
        <w:numPr>
          <w:ilvl w:val="0"/>
          <w:numId w:val="1"/>
        </w:numP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 w:val="false"/>
          <w:bCs w:val="false"/>
          <w:i/>
          <w:iCs/>
          <w:color w:val="000000"/>
          <w:sz w:val="22"/>
          <w:szCs w:val="22"/>
          <w:shd w:fill="FFFFFF" w:val="clear"/>
          <w:lang w:val="ca-ES" w:eastAsia="zh-CN" w:bidi="hi-IN"/>
        </w:rPr>
      </w:r>
    </w:p>
    <w:p>
      <w:pPr>
        <w:pStyle w:val="BodyText"/>
        <w:numPr>
          <w:ilvl w:val="0"/>
          <w:numId w:val="1"/>
        </w:numP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 xml:space="preserve">15.- Que es disposa de l’avaluació de riscos laborals conforme la normativa vigent. </w:t>
      </w:r>
    </w:p>
    <w:p>
      <w:pPr>
        <w:pStyle w:val="BodyText"/>
        <w:numPr>
          <w:ilvl w:val="0"/>
          <w:numId w:val="1"/>
        </w:numP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 w:val="false"/>
          <w:bCs w:val="false"/>
          <w:i/>
          <w:iCs/>
          <w:color w:val="000000"/>
          <w:sz w:val="22"/>
          <w:szCs w:val="22"/>
          <w:shd w:fill="FFFFFF" w:val="clear"/>
          <w:lang w:val="ca-ES" w:eastAsia="zh-CN" w:bidi="hi-IN"/>
        </w:rPr>
      </w:r>
    </w:p>
    <w:p>
      <w:pPr>
        <w:pStyle w:val="BodyText"/>
        <w:numPr>
          <w:ilvl w:val="0"/>
          <w:numId w:val="1"/>
        </w:numPr>
        <w:bidi w:val="0"/>
        <w:spacing w:lineRule="auto" w:line="276"/>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 xml:space="preserve">16.- Que d’acord amb la normativa vigent, declara ser: </w:t>
      </w:r>
      <w:r>
        <w:rP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1"/>
        </w:numPr>
        <w:tabs>
          <w:tab w:val="clear" w:pos="709"/>
        </w:tabs>
        <w:bidi w:val="0"/>
        <w:spacing w:lineRule="auto" w:line="276" w:before="0" w:after="0"/>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No PIME</w:t>
      </w:r>
    </w:p>
    <w:p>
      <w:pPr>
        <w:pStyle w:val="BodyText"/>
        <w:widowControl/>
        <w:numPr>
          <w:ilvl w:val="0"/>
          <w:numId w:val="1"/>
        </w:numP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shd w:fill="auto" w:val="clear"/>
          <w:lang w:eastAsia="zh-CN" w:bidi="hi-IN"/>
        </w:rPr>
      </w:pPr>
      <w:r>
        <w:rPr>
          <w:rFonts w:eastAsia="Times New Roman" w:cs="Times New Roman"/>
          <w:b w:val="false"/>
          <w:bCs w:val="false"/>
          <w:i/>
          <w:iCs/>
          <w:u w:val="none"/>
          <w:shd w:fill="auto" w:val="clear"/>
          <w:lang w:eastAsia="zh-CN" w:bidi="hi-IN"/>
        </w:rPr>
      </w:r>
    </w:p>
    <w:p>
      <w:pPr>
        <w:pStyle w:val="BodyText"/>
        <w:widowControl/>
        <w:numPr>
          <w:ilvl w:val="0"/>
          <w:numId w:val="1"/>
        </w:numPr>
        <w:tabs>
          <w:tab w:val="clear" w:pos="709"/>
        </w:tabs>
        <w:bidi w:val="0"/>
        <w:spacing w:lineRule="auto" w:line="276" w:before="57" w:after="57"/>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17.- 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1"/>
        </w:numPr>
        <w:tabs>
          <w:tab w:val="clear" w:pos="709"/>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Menys de 50    </w:t>
        <w:tab/>
        <w:t xml:space="preserve"> □ 50 o més </w:t>
      </w:r>
    </w:p>
    <w:p>
      <w:pPr>
        <w:pStyle w:val="BodyText"/>
        <w:widowControl/>
        <w:numPr>
          <w:ilvl w:val="0"/>
          <w:numId w:val="1"/>
        </w:numPr>
        <w:tabs>
          <w:tab w:val="clear" w:pos="709"/>
        </w:tabs>
        <w:bidi w:val="0"/>
        <w:spacing w:lineRule="auto" w:line="276" w:before="0" w:after="0"/>
        <w:ind w:hanging="0" w:left="0" w:right="0"/>
        <w:jc w:val="both"/>
        <w:rPr>
          <w:rStyle w:val="Fuentedeprrafopredeter"/>
          <w:rFonts w:ascii="Arial" w:hAnsi="Arial" w:eastAsia="Times New Roman" w:cs="Times New Roman"/>
          <w:b/>
          <w:bCs/>
          <w:i w:val="false"/>
          <w:iCs w:val="false"/>
          <w:color w:val="auto"/>
          <w:sz w:val="22"/>
          <w:szCs w:val="22"/>
          <w:u w:val="single"/>
          <w:shd w:fill="auto" w:val="clear"/>
          <w:lang w:val="ca-ES" w:eastAsia="zh-CN" w:bidi="hi-IN"/>
        </w:rPr>
      </w:pPr>
      <w:r>
        <w:rPr>
          <w:rFonts w:eastAsia="Times New Roman" w:cs="Times New Roman" w:ascii="Arial" w:hAnsi="Arial"/>
          <w:b/>
          <w:bCs/>
          <w:i w:val="false"/>
          <w:iCs w:val="false"/>
          <w:color w:val="auto"/>
          <w:sz w:val="22"/>
          <w:szCs w:val="22"/>
          <w:u w:val="single"/>
          <w:shd w:fill="auto" w:val="clear"/>
          <w:lang w:val="ca-ES" w:eastAsia="zh-CN" w:bidi="hi-IN"/>
        </w:rPr>
      </w:r>
    </w:p>
    <w:p>
      <w:pPr>
        <w:pStyle w:val="BodyText"/>
        <w:widowControl/>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lang w:eastAsia="zh-CN" w:bidi="hi-IN"/>
        </w:rPr>
      </w:pPr>
      <w:r>
        <w:rPr>
          <w:rFonts w:eastAsia="Times New Roman" w:cs="Times New Roman"/>
          <w:b w:val="false"/>
          <w:bCs w:val="false"/>
          <w:i/>
          <w:iCs/>
          <w:u w:val="none"/>
          <w:lang w:eastAsia="zh-CN" w:bidi="hi-IN"/>
        </w:rPr>
      </w:r>
    </w:p>
    <w:p>
      <w:pPr>
        <w:pStyle w:val="BodyText"/>
        <w:bidi w:val="0"/>
        <w:spacing w:lineRule="auto" w:line="276"/>
        <w:jc w:val="both"/>
        <w:rPr/>
      </w:pPr>
      <w:r>
        <w:rPr>
          <w:rFonts w:ascii="Arial" w:hAnsi="Arial"/>
          <w:b/>
          <w:bCs/>
          <w:i/>
          <w:iCs/>
          <w:color w:val="000000"/>
          <w:sz w:val="22"/>
          <w:szCs w:val="22"/>
          <w:u w:val="none"/>
          <w:lang w:val="ca-ES"/>
        </w:rPr>
        <w:t>ALTRES DECLARACIONS RESPONSABLES:</w:t>
      </w:r>
    </w:p>
    <w:p>
      <w:pPr>
        <w:pStyle w:val="BodyText"/>
        <w:numPr>
          <w:ilvl w:val="0"/>
          <w:numId w:val="1"/>
        </w:numP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d’estar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 i/o de l'Administració de l'Estat (</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 autoritza a l’Ajuntament de Granollers a la seva consulta, i declara que la informació continguda és correcta.</w:t>
      </w:r>
    </w:p>
    <w:p>
      <w:pPr>
        <w:pStyle w:val="BodyText"/>
        <w:numPr>
          <w:ilvl w:val="0"/>
          <w:numId w:val="1"/>
        </w:numPr>
        <w:tabs>
          <w:tab w:val="clear" w:pos="709"/>
          <w:tab w:val="left" w:pos="540" w:leader="none"/>
        </w:tabs>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2.-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1"/>
        </w:numP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3.- </w:t>
      </w:r>
      <w:r>
        <w:rPr>
          <w:rFonts w:eastAsia="Helv" w:cs="Helv" w:ascii="Arial" w:hAnsi="Arial"/>
          <w:b w:val="false"/>
          <w:i/>
          <w:iCs/>
          <w:color w:val="000000"/>
          <w:sz w:val="22"/>
          <w:szCs w:val="22"/>
          <w:shd w:fill="auto" w:val="clear"/>
          <w:lang w:val="ca-ES"/>
        </w:rPr>
        <w:t xml:space="preserve">En el cas que el licitador compti amb 50 o més treballadors o treballadores,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1"/>
        </w:numP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4.- </w:t>
      </w:r>
      <w:r>
        <w:rPr>
          <w:rFonts w:eastAsia="Times New Roman" w:cs="Times New Roman" w:ascii="Arial" w:hAnsi="Arial"/>
          <w:b w:val="false"/>
          <w:bCs w:val="false"/>
          <w:i/>
          <w:iCs/>
          <w:color w:val="000000"/>
          <w:sz w:val="22"/>
          <w:szCs w:val="22"/>
          <w:shd w:fill="auto" w:val="clear"/>
          <w:lang w:val="ca-ES" w:eastAsia="zh-CN" w:bidi="hi-IN"/>
        </w:rPr>
        <w:t xml:space="preserve">En el cas d’empreses de més de 50 treballadors o treballadores, s’ha de comptar amb l’obligació de tenir un </w:t>
      </w:r>
      <w:r>
        <w:rPr>
          <w:rFonts w:eastAsia="Times New Roman" w:cs="Times New Roman" w:ascii="Arial" w:hAnsi="Arial"/>
          <w:b w:val="false"/>
          <w:bCs w:val="false"/>
          <w:i/>
          <w:iCs/>
          <w:color w:val="000000"/>
          <w:sz w:val="22"/>
          <w:szCs w:val="22"/>
          <w:u w:val="single"/>
          <w:shd w:fill="auto" w:val="clear"/>
          <w:lang w:val="ca-ES" w:eastAsia="zh-CN" w:bidi="hi-IN"/>
        </w:rPr>
        <w:t>pla d’igualtat</w:t>
      </w:r>
      <w:r>
        <w:rPr>
          <w:rFonts w:eastAsia="Times New Roman" w:cs="Times New Roman" w:ascii="Arial" w:hAnsi="Arial"/>
          <w:b w:val="false"/>
          <w:bCs w:val="false"/>
          <w:i/>
          <w:iCs/>
          <w:color w:val="000000"/>
          <w:sz w:val="22"/>
          <w:szCs w:val="22"/>
          <w:shd w:fill="auto" w:val="clear"/>
          <w:lang w:val="ca-ES" w:eastAsia="zh-CN" w:bidi="hi-IN"/>
        </w:rPr>
        <w:t xml:space="preserve"> conforme al disposat a l’article 45 de la Llei3/2007, de 22 de març, per a la igualtat de dones i homes.</w:t>
      </w:r>
    </w:p>
    <w:p>
      <w:pPr>
        <w:pStyle w:val="BodyText"/>
        <w:numPr>
          <w:ilvl w:val="0"/>
          <w:numId w:val="1"/>
        </w:numP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 En el supòsit que concorri exempció d'IVA, el licitador haurà de presentar declaració de què es troba exempt, el motiu i que són vigents les circumstàncies que donaren lloc a la dita exempció.</w:t>
      </w:r>
    </w:p>
    <w:p>
      <w:pPr>
        <w:pStyle w:val="BodyText"/>
        <w:numPr>
          <w:ilvl w:val="0"/>
          <w:numId w:val="1"/>
        </w:numP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 xml:space="preserve">6.- 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bidi w:val="0"/>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 xml:space="preserve">8.-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1"/>
        </w:numPr>
        <w:bidi w:val="0"/>
        <w:spacing w:lineRule="auto" w:line="276" w:before="57" w:after="57"/>
        <w:ind w:hanging="0" w:left="0" w:right="0"/>
        <w:jc w:val="both"/>
        <w:rPr>
          <w:rFonts w:ascii="Arial" w:hAnsi="Arial" w:eastAsia="Times New Roman" w:cs="Times New Roman"/>
          <w:b w:val="false"/>
          <w:bCs w:val="false"/>
          <w:i/>
          <w:iCs/>
          <w:color w:val="000000"/>
          <w:sz w:val="20"/>
          <w:szCs w:val="20"/>
          <w:shd w:fill="auto" w:val="clear"/>
          <w:lang w:val="ca-ES" w:eastAsia="zh-CN" w:bidi="hi-IN"/>
        </w:rPr>
      </w:pPr>
      <w:r>
        <w:rPr>
          <w:rStyle w:val="Fuentedeprrafopredeter1"/>
          <w:rFonts w:eastAsia="Helv" w:cs="Helv"/>
          <w:b w:val="false"/>
          <w:bCs/>
          <w:i/>
          <w:iCs/>
          <w:caps w:val="false"/>
          <w:smallCaps w:val="false"/>
          <w:strike w:val="false"/>
          <w:dstrike w:val="false"/>
          <w:color w:val="000000"/>
          <w:spacing w:val="0"/>
          <w:sz w:val="22"/>
          <w:szCs w:val="22"/>
          <w:u w:val="none"/>
          <w:shd w:fill="auto" w:val="clear"/>
          <w:lang w:val="ca-ES" w:eastAsia="es-ES" w:bidi="hi-IN"/>
        </w:rPr>
        <w:t>(Lloc, data i signatura del licitador)</w:t>
      </w:r>
      <w:r>
        <w:rPr>
          <w:rFonts w:eastAsia="Times New Roman" w:cs="Arial"/>
          <w:b/>
          <w:bCs/>
          <w:i/>
          <w:iCs/>
          <w:color w:val="000000"/>
          <w:sz w:val="22"/>
          <w:szCs w:val="22"/>
          <w:shd w:fill="auto" w:val="clear"/>
          <w:lang w:val="ca-ES" w:eastAsia="zh-CN" w:bidi="hi-IN"/>
        </w:rPr>
        <w:t>.</w:t>
      </w:r>
      <w:r>
        <w:rPr>
          <w:rFonts w:eastAsia="Times New Roman" w:cs="Arial"/>
          <w:b w:val="false"/>
          <w:bCs w:val="false"/>
          <w:i/>
          <w:iCs/>
          <w:color w:val="000000"/>
          <w:sz w:val="22"/>
          <w:szCs w:val="22"/>
          <w:shd w:fill="auto" w:val="clear"/>
          <w:lang w:val="ca-ES" w:eastAsia="zh-CN" w:bidi="hi-IN"/>
        </w:rPr>
        <w:t>»</w:t>
      </w:r>
    </w:p>
    <w:p>
      <w:pPr>
        <w:pStyle w:val="BodyText"/>
        <w:widowControl/>
        <w:bidi w:val="0"/>
        <w:spacing w:lineRule="auto" w:line="276" w:before="57" w:after="57"/>
        <w:ind w:hanging="0" w:left="0" w:right="0"/>
        <w:jc w:val="both"/>
        <w:rPr>
          <w:rFonts w:ascii="Arial" w:hAnsi="Arial" w:eastAsia="Times New Roman" w:cs="Arial"/>
          <w:b w:val="false"/>
          <w:bCs w:val="false"/>
          <w:i/>
          <w:iCs/>
          <w:color w:val="000000"/>
          <w:sz w:val="22"/>
          <w:szCs w:val="22"/>
          <w:shd w:fill="auto" w:val="clear"/>
          <w:lang w:val="ca-ES" w:eastAsia="zh-CN" w:bidi="hi-IN"/>
        </w:rPr>
      </w:pPr>
      <w:r>
        <w:rPr>
          <w:rFonts w:eastAsia="Times New Roman" w:cs="Arial" w:ascii="Arial" w:hAnsi="Arial"/>
          <w:b w:val="false"/>
          <w:bCs w:val="false"/>
          <w:i/>
          <w:iCs/>
          <w:color w:val="000000"/>
          <w:sz w:val="22"/>
          <w:szCs w:val="22"/>
          <w:shd w:fill="auto" w:val="clear"/>
          <w:lang w:val="ca-ES" w:eastAsia="zh-CN" w:bidi="hi-IN"/>
        </w:rPr>
      </w:r>
    </w:p>
    <w:p>
      <w:pPr>
        <w:pStyle w:val="BodyText"/>
        <w:widowControl/>
        <w:bidi w:val="0"/>
        <w:spacing w:lineRule="auto" w:line="276" w:before="57" w:after="57"/>
        <w:ind w:hanging="0" w:left="0" w:right="0"/>
        <w:jc w:val="both"/>
        <w:rPr>
          <w:rFonts w:ascii="Arial" w:hAnsi="Arial" w:eastAsia="Times New Roman" w:cs="Arial"/>
          <w:b w:val="false"/>
          <w:bCs w:val="false"/>
          <w:i/>
          <w:iCs/>
          <w:color w:val="000000"/>
          <w:sz w:val="22"/>
          <w:szCs w:val="22"/>
          <w:shd w:fill="auto" w:val="clear"/>
          <w:lang w:val="ca-ES" w:eastAsia="zh-CN" w:bidi="hi-IN"/>
        </w:rPr>
      </w:pPr>
      <w:r>
        <w:rPr>
          <w:rFonts w:eastAsia="Times New Roman" w:cs="Arial" w:ascii="Arial" w:hAnsi="Arial"/>
          <w:b w:val="false"/>
          <w:bCs w:val="false"/>
          <w:i/>
          <w:iCs/>
          <w:color w:val="000000"/>
          <w:sz w:val="22"/>
          <w:szCs w:val="22"/>
          <w:shd w:fill="auto" w:val="clear"/>
          <w:lang w:val="ca-ES" w:eastAsia="zh-CN" w:bidi="hi-IN"/>
        </w:rPr>
      </w:r>
    </w:p>
    <w:p>
      <w:pPr>
        <w:pStyle w:val="BodyText"/>
        <w:widowControl/>
        <w:bidi w:val="0"/>
        <w:spacing w:lineRule="auto" w:line="276" w:before="57" w:after="57"/>
        <w:ind w:hanging="0" w:left="0" w:right="0"/>
        <w:jc w:val="both"/>
        <w:rPr>
          <w:rFonts w:ascii="Arial" w:hAnsi="Arial" w:eastAsia="Times New Roman" w:cs="Arial"/>
          <w:b w:val="false"/>
          <w:bCs w:val="false"/>
          <w:i/>
          <w:iCs/>
          <w:color w:val="000000"/>
          <w:sz w:val="22"/>
          <w:szCs w:val="22"/>
          <w:shd w:fill="auto" w:val="clear"/>
          <w:lang w:val="ca-ES" w:eastAsia="zh-CN" w:bidi="hi-IN"/>
        </w:rPr>
      </w:pPr>
      <w:r>
        <w:rPr>
          <w:rFonts w:eastAsia="Times New Roman" w:cs="Arial" w:ascii="Arial" w:hAnsi="Arial"/>
          <w:b w:val="false"/>
          <w:bCs w:val="false"/>
          <w:i/>
          <w:iCs/>
          <w:color w:val="000000"/>
          <w:sz w:val="22"/>
          <w:szCs w:val="22"/>
          <w:shd w:fill="auto" w:val="clear"/>
          <w:lang w:val="ca-ES" w:eastAsia="zh-CN" w:bidi="hi-IN"/>
        </w:rPr>
      </w:r>
    </w:p>
    <w:p>
      <w:pPr>
        <w:pStyle w:val="BodyText"/>
        <w:widowControl/>
        <w:bidi w:val="0"/>
        <w:spacing w:lineRule="auto" w:line="276" w:before="57" w:after="57"/>
        <w:ind w:hanging="0" w:left="0" w:right="0"/>
        <w:jc w:val="both"/>
        <w:rPr>
          <w:rFonts w:ascii="Arial" w:hAnsi="Arial" w:eastAsia="Times New Roman" w:cs="Arial"/>
          <w:b w:val="false"/>
          <w:bCs w:val="false"/>
          <w:i/>
          <w:iCs/>
          <w:color w:val="000000"/>
          <w:sz w:val="22"/>
          <w:szCs w:val="22"/>
          <w:shd w:fill="auto" w:val="clear"/>
          <w:lang w:val="ca-ES" w:eastAsia="zh-CN" w:bidi="hi-IN"/>
        </w:rPr>
      </w:pPr>
      <w:r>
        <w:rPr>
          <w:rFonts w:eastAsia="Times New Roman" w:cs="Arial" w:ascii="Arial" w:hAnsi="Arial"/>
          <w:b w:val="false"/>
          <w:bCs w:val="false"/>
          <w:i/>
          <w:iCs/>
          <w:color w:val="000000"/>
          <w:sz w:val="22"/>
          <w:szCs w:val="22"/>
          <w:shd w:fill="auto" w:val="clear"/>
          <w:lang w:val="ca-ES" w:eastAsia="zh-CN" w:bidi="hi-IN"/>
        </w:rPr>
      </w:r>
    </w:p>
    <w:sectPr>
      <w:headerReference w:type="default" r:id="rId2"/>
      <w:type w:val="nextPage"/>
      <w:pgSz w:w="11906" w:h="16838"/>
      <w:pgMar w:left="1134" w:right="1134" w:gutter="0" w:header="1134" w:top="1693"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3" behindDoc="1" locked="0" layoutInCell="0" allowOverlap="1">
          <wp:simplePos x="0" y="0"/>
          <wp:positionH relativeFrom="column">
            <wp:posOffset>76200</wp:posOffset>
          </wp:positionH>
          <wp:positionV relativeFrom="paragraph">
            <wp:posOffset>-656590</wp:posOffset>
          </wp:positionV>
          <wp:extent cx="6042025" cy="894080"/>
          <wp:effectExtent l="0" t="0" r="0" b="0"/>
          <wp:wrapSquare wrapText="largest"/>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
                  <a:stretch>
                    <a:fillRect/>
                  </a:stretch>
                </pic:blipFill>
                <pic:spPr bwMode="auto">
                  <a:xfrm>
                    <a:off x="0" y="0"/>
                    <a:ext cx="6042025" cy="89408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624" w:hanging="624"/>
      </w:pPr>
      <w:rPr>
        <w:color w:val="auto"/>
      </w:rPr>
    </w:lvl>
    <w:lvl w:ilvl="1">
      <w:start w:val="1"/>
      <w:numFmt w:val="bullet"/>
      <w:lvlText w:val=""/>
      <w:lvlJc w:val="left"/>
      <w:pPr>
        <w:tabs>
          <w:tab w:val="num" w:pos="85"/>
        </w:tabs>
        <w:ind w:left="1026" w:hanging="969"/>
      </w:pPr>
      <w:rPr>
        <w:rFonts w:ascii="Symbol" w:hAnsi="Symbol" w:cs="Symbol" w:hint="default"/>
        <w:color w:val="auto"/>
      </w:rPr>
    </w:lvl>
    <w:lvl w:ilvl="2">
      <w:start w:val="1"/>
      <w:numFmt w:val="bullet"/>
      <w:lvlText w:val=""/>
      <w:lvlJc w:val="left"/>
      <w:pPr>
        <w:tabs>
          <w:tab w:val="num" w:pos="85"/>
        </w:tabs>
        <w:ind w:left="1026" w:hanging="969"/>
      </w:pPr>
      <w:rPr>
        <w:rFonts w:ascii="Symbol" w:hAnsi="Symbol" w:cs="Symbol" w:hint="default"/>
        <w:color w:val="auto"/>
      </w:rPr>
    </w:lvl>
    <w:lvl w:ilvl="3">
      <w:start w:val="1"/>
      <w:numFmt w:val="bullet"/>
      <w:lvlText w:val=""/>
      <w:lvlJc w:val="left"/>
      <w:pPr>
        <w:tabs>
          <w:tab w:val="num" w:pos="85"/>
        </w:tabs>
        <w:ind w:left="1026" w:hanging="969"/>
      </w:pPr>
      <w:rPr>
        <w:rFonts w:ascii="Symbol" w:hAnsi="Symbol" w:cs="Symbol" w:hint="default"/>
        <w:color w:val="auto"/>
      </w:rPr>
    </w:lvl>
    <w:lvl w:ilvl="4">
      <w:start w:val="1"/>
      <w:numFmt w:val="bullet"/>
      <w:lvlText w:val=""/>
      <w:lvlJc w:val="left"/>
      <w:pPr>
        <w:tabs>
          <w:tab w:val="num" w:pos="85"/>
        </w:tabs>
        <w:ind w:left="1026" w:hanging="969"/>
      </w:pPr>
      <w:rPr>
        <w:rFonts w:ascii="Symbol" w:hAnsi="Symbol" w:cs="Symbol" w:hint="default"/>
        <w:color w:val="auto"/>
      </w:rPr>
    </w:lvl>
    <w:lvl w:ilvl="5">
      <w:start w:val="1"/>
      <w:numFmt w:val="bullet"/>
      <w:lvlText w:val=""/>
      <w:lvlJc w:val="left"/>
      <w:pPr>
        <w:tabs>
          <w:tab w:val="num" w:pos="85"/>
        </w:tabs>
        <w:ind w:left="1026" w:hanging="969"/>
      </w:pPr>
      <w:rPr>
        <w:rFonts w:ascii="Symbol" w:hAnsi="Symbol" w:cs="Symbol" w:hint="default"/>
        <w:color w:val="auto"/>
      </w:rPr>
    </w:lvl>
    <w:lvl w:ilvl="6">
      <w:start w:val="1"/>
      <w:numFmt w:val="bullet"/>
      <w:lvlText w:val=""/>
      <w:lvlJc w:val="left"/>
      <w:pPr>
        <w:tabs>
          <w:tab w:val="num" w:pos="85"/>
        </w:tabs>
        <w:ind w:left="1026" w:hanging="969"/>
      </w:pPr>
      <w:rPr>
        <w:rFonts w:ascii="Symbol" w:hAnsi="Symbol" w:cs="Symbol" w:hint="default"/>
        <w:color w:val="auto"/>
      </w:rPr>
    </w:lvl>
    <w:lvl w:ilvl="7">
      <w:start w:val="1"/>
      <w:numFmt w:val="bullet"/>
      <w:lvlText w:val=""/>
      <w:lvlJc w:val="left"/>
      <w:pPr>
        <w:tabs>
          <w:tab w:val="num" w:pos="85"/>
        </w:tabs>
        <w:ind w:left="1026" w:hanging="969"/>
      </w:pPr>
      <w:rPr>
        <w:rFonts w:ascii="Symbol" w:hAnsi="Symbol" w:cs="Symbol" w:hint="default"/>
        <w:color w:val="auto"/>
      </w:rPr>
    </w:lvl>
    <w:lvl w:ilvl="8">
      <w:start w:val="1"/>
      <w:numFmt w:val="bullet"/>
      <w:lvlText w:val=""/>
      <w:lvlJc w:val="left"/>
      <w:pPr>
        <w:tabs>
          <w:tab w:val="num" w:pos="85"/>
        </w:tabs>
        <w:ind w:left="1026" w:hanging="969"/>
      </w:pPr>
      <w:rPr>
        <w:rFonts w:ascii="Symbol" w:hAnsi="Symbol" w:cs="Symbol" w:hint="default"/>
        <w:color w:val="auto"/>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ca-ES" w:eastAsia="zh-CN" w:bidi="hi-IN"/>
    </w:rPr>
  </w:style>
  <w:style w:type="character" w:styleId="Smbolsdenumeraciuser">
    <w:name w:val="Símbols de numeració (user)"/>
    <w:qFormat/>
    <w:rPr>
      <w:color w:val="auto"/>
    </w:rPr>
  </w:style>
  <w:style w:type="character" w:styleId="Fuentedeprrafopredeter">
    <w:name w:val="Fuente de párrafo predeter."/>
    <w:qFormat/>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Encapalamentuser">
    <w:name w:val="Encapçalament (user)"/>
    <w:basedOn w:val="Normal"/>
    <w:next w:val="BodyText"/>
    <w:qFormat/>
    <w:pPr>
      <w:keepNext w:val="true"/>
      <w:spacing w:before="240" w:after="120"/>
    </w:pPr>
    <w:rPr>
      <w:rFonts w:ascii="Liberation Sans" w:hAnsi="Liberation Sans" w:eastAsia="Microsoft YaHei" w:cs="Arial"/>
      <w:sz w:val="28"/>
      <w:szCs w:val="28"/>
    </w:rPr>
  </w:style>
  <w:style w:type="paragraph" w:styleId="ndexuser">
    <w:name w:val="Índex (user)"/>
    <w:basedOn w:val="Normal"/>
    <w:qFormat/>
    <w:pPr>
      <w:suppressLineNumbers/>
    </w:pPr>
    <w:rPr>
      <w:rFonts w:cs="Arial"/>
    </w:rPr>
  </w:style>
  <w:style w:type="paragraph" w:styleId="LO-Normal1">
    <w:name w:val="LO-Normal1"/>
    <w:qFormat/>
    <w:pPr>
      <w:widowControl w:val="false"/>
      <w:suppressAutoHyphens w:val="true"/>
      <w:overflowPunct w:val="true"/>
      <w:bidi w:val="0"/>
      <w:spacing w:before="0" w:after="0"/>
      <w:jc w:val="left"/>
    </w:pPr>
    <w:rPr>
      <w:rFonts w:ascii="Liberation Serif" w:hAnsi="Liberation Serif" w:eastAsia="NSimSun" w:cs="Arial"/>
      <w:color w:val="auto"/>
      <w:kern w:val="2"/>
      <w:sz w:val="20"/>
      <w:szCs w:val="24"/>
      <w:lang w:val="ca-ES" w:eastAsia="zh-CN" w:bidi="hi-IN"/>
    </w:rPr>
  </w:style>
  <w:style w:type="paragraph" w:styleId="Subtitle">
    <w:name w:val="Subtitle"/>
    <w:basedOn w:val="Encapalamentuser"/>
    <w:next w:val="BodyText"/>
    <w:qFormat/>
    <w:pPr>
      <w:bidi w:val="0"/>
      <w:jc w:val="both"/>
    </w:pPr>
    <w:rPr>
      <w:rFonts w:ascii="Arial" w:hAnsi="Arial"/>
      <w:i w:val="false"/>
      <w:iCs/>
      <w:sz w:val="24"/>
      <w:szCs w:val="28"/>
    </w:rPr>
  </w:style>
  <w:style w:type="paragraph" w:styleId="Capaleraipeudepgina">
    <w:name w:val="Capçalera i peu de pàgina"/>
    <w:basedOn w:val="Normal"/>
    <w:qFormat/>
    <w:pPr>
      <w:suppressLineNumbers/>
      <w:tabs>
        <w:tab w:val="clear" w:pos="709"/>
        <w:tab w:val="center" w:pos="4819" w:leader="none"/>
        <w:tab w:val="right" w:pos="9638" w:leader="none"/>
      </w:tabs>
    </w:pPr>
    <w:rPr/>
  </w:style>
  <w:style w:type="paragraph" w:styleId="Header">
    <w:name w:val="header"/>
    <w:basedOn w:val="Capaleraipeudepgina"/>
    <w:pPr>
      <w:suppressLineNumbers/>
    </w:pPr>
    <w:rPr/>
  </w:style>
  <w:style w:type="numbering" w:styleId="Picuser">
    <w:name w:val="Pic –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LibreOffice/26.2.4.2$Windows_X86_64 LibreOffice_project/0229ac93fcf0d7cbc6376066c6f35021cef002dc</Application>
  <AppVersion>15.0000</AppVersion>
  <Pages>3</Pages>
  <Words>1094</Words>
  <Characters>6266</Characters>
  <CharactersWithSpaces>7356</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2026-07-28T11:23:37Z</dcterms:created>
  <dc:creator/>
  <dc:description/>
  <dc:language>es-ES</dc:language>
  <cp:lastModifiedBy/>
  <dcterms:modified xsi:type="dcterms:W3CDTF">2026-07-28T11:37:28Z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