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bidi w:val="0"/>
        <w:ind w:hanging="0" w:left="0"/>
        <w:jc w:val="left"/>
        <w:rPr>
          <w:rFonts w:ascii="Arial" w:hAnsi="Arial"/>
          <w:b/>
          <w:bCs/>
          <w:sz w:val="22"/>
          <w:szCs w:val="22"/>
        </w:rPr>
      </w:pPr>
      <w:r>
        <w:rPr>
          <w:rFonts w:ascii="Arial" w:hAnsi="Arial"/>
          <w:b/>
          <w:bCs/>
          <w:sz w:val="22"/>
          <w:szCs w:val="22"/>
        </w:rPr>
        <w:t>DECLARACIÓ RESPONSABLE</w:t>
      </w:r>
    </w:p>
    <w:p>
      <w:pPr>
        <w:pStyle w:val="Normal"/>
        <w:numPr>
          <w:ilvl w:val="0"/>
          <w:numId w:val="0"/>
        </w:numPr>
        <w:bidi w:val="0"/>
        <w:ind w:hanging="0" w:left="0"/>
        <w:jc w:val="left"/>
        <w:rPr>
          <w:rFonts w:ascii="Arial" w:hAnsi="Arial"/>
          <w:b w:val="false"/>
          <w:bCs w:val="false"/>
          <w:sz w:val="22"/>
          <w:szCs w:val="22"/>
        </w:rPr>
      </w:pPr>
      <w:r>
        <w:rPr>
          <w:rFonts w:ascii="Arial" w:hAnsi="Arial"/>
          <w:b w:val="false"/>
          <w:bCs w:val="false"/>
          <w:sz w:val="22"/>
          <w:szCs w:val="22"/>
        </w:rPr>
      </w:r>
    </w:p>
    <w:p>
      <w:pPr>
        <w:pStyle w:val="Normal"/>
        <w:numPr>
          <w:ilvl w:val="0"/>
          <w:numId w:val="0"/>
        </w:numPr>
        <w:bidi w:val="0"/>
        <w:ind w:hanging="0" w:left="0"/>
        <w:jc w:val="left"/>
        <w:rPr>
          <w:rFonts w:ascii="Arial" w:hAnsi="Arial"/>
          <w:b/>
          <w:bCs/>
          <w:sz w:val="22"/>
          <w:szCs w:val="22"/>
        </w:rPr>
      </w:pPr>
      <w:r>
        <w:rPr>
          <w:rFonts w:ascii="Arial" w:hAnsi="Arial"/>
          <w:b w:val="false"/>
          <w:bCs w:val="false"/>
          <w:sz w:val="22"/>
          <w:szCs w:val="22"/>
        </w:rPr>
        <w:t xml:space="preserve">El licitador haurà de presentar en el sobre únic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numPr>
          <w:ilvl w:val="0"/>
          <w:numId w:val="0"/>
        </w:numPr>
        <w:pBdr/>
        <w:bidi w:val="0"/>
        <w:spacing w:lineRule="auto" w:line="276"/>
        <w:ind w:hanging="0" w:left="0"/>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Documentació administrativa per participar en el procediment obert </w:t>
      </w:r>
      <w:r>
        <w:rPr>
          <w:rFonts w:eastAsia="Arial" w:cs="Arial" w:ascii="Arial" w:hAnsi="Arial"/>
          <w:b/>
          <w:bCs/>
          <w:i/>
          <w:iCs/>
          <w:color w:val="000000"/>
          <w:sz w:val="22"/>
          <w:szCs w:val="22"/>
          <w:u w:val="none"/>
          <w:shd w:fill="auto" w:val="clear"/>
          <w:lang w:val="ca-ES"/>
        </w:rPr>
        <w:t xml:space="preserve">simplificat </w:t>
      </w:r>
      <w:r>
        <w:rPr>
          <w:rFonts w:eastAsia="Arial" w:cs="Arial" w:ascii="Arial" w:hAnsi="Arial"/>
          <w:b/>
          <w:bCs/>
          <w:i/>
          <w:iCs/>
          <w:color w:val="000000"/>
          <w:sz w:val="22"/>
          <w:szCs w:val="22"/>
          <w:u w:val="none"/>
          <w:shd w:fill="auto" w:val="clear"/>
          <w:lang w:val="ca-ES"/>
        </w:rPr>
        <w:t xml:space="preserve">abreujat (sumari) </w:t>
      </w:r>
      <w:r>
        <w:rPr>
          <w:rFonts w:eastAsia="Arial" w:cs="Arial" w:ascii="Arial" w:hAnsi="Arial"/>
          <w:b/>
          <w:bCs/>
          <w:i/>
          <w:iCs/>
          <w:color w:val="000000"/>
          <w:sz w:val="22"/>
          <w:szCs w:val="22"/>
          <w:u w:val="none"/>
          <w:shd w:fill="auto" w:val="clear"/>
          <w:lang w:val="ca-ES"/>
        </w:rPr>
        <w:t>per a</w:t>
      </w:r>
      <w:r>
        <w:rPr>
          <w:rFonts w:eastAsia="Arial" w:cs="Arial" w:ascii="Arial" w:hAnsi="Arial"/>
          <w:b/>
          <w:bCs/>
          <w:i/>
          <w:iCs/>
          <w:color w:val="000000"/>
          <w:sz w:val="22"/>
          <w:szCs w:val="22"/>
          <w:u w:val="none"/>
          <w:shd w:fill="auto" w:val="clear"/>
          <w:lang w:val="ca-ES"/>
        </w:rPr>
        <w:t>l contracte d’obres</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numPr>
          <w:ilvl w:val="0"/>
          <w:numId w:val="0"/>
        </w:numPr>
        <w:pBdr/>
        <w:bidi w:val="0"/>
        <w:spacing w:lineRule="auto" w:line="276"/>
        <w:ind w:hanging="0" w:left="0"/>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0"/>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numPr>
          <w:ilvl w:val="0"/>
          <w:numId w:val="0"/>
        </w:numPr>
        <w:pBdr/>
        <w:bidi w:val="0"/>
        <w:spacing w:lineRule="auto" w:line="276"/>
        <w:ind w:hanging="0" w:left="0"/>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numPr>
          <w:ilvl w:val="0"/>
          <w:numId w:val="0"/>
        </w:numPr>
        <w:pBdr/>
        <w:bidi w:val="0"/>
        <w:spacing w:lineRule="auto" w:line="276"/>
        <w:ind w:hanging="0" w:left="0"/>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0"/>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2</w:t>
      </w:r>
      <w:r>
        <w:rPr>
          <w:rFonts w:eastAsia="Helv" w:cs="Helv" w:ascii="Arial" w:hAnsi="Arial"/>
          <w:b w:val="false"/>
          <w:i/>
          <w:iCs/>
          <w:color w:val="auto"/>
          <w:sz w:val="22"/>
          <w:szCs w:val="22"/>
          <w:u w:val="none"/>
          <w:shd w:fill="auto" w:val="clear"/>
          <w:lang w:val="ca-ES"/>
        </w:rPr>
        <w:t xml:space="preserve">- </w:t>
      </w:r>
      <w:r>
        <w:rPr>
          <w:rFonts w:eastAsia="Helv" w:cs="Helv" w:ascii="Arial" w:hAnsi="Arial"/>
          <w:b w:val="false"/>
          <w:i/>
          <w:iCs/>
          <w:color w:val="auto"/>
          <w:sz w:val="22"/>
          <w:szCs w:val="22"/>
          <w:u w:val="none"/>
          <w:shd w:fill="auto" w:val="clear"/>
          <w:lang w:val="ca-ES"/>
        </w:rPr>
        <w:t>Q</w:t>
      </w:r>
      <w:r>
        <w:rPr>
          <w:rFonts w:eastAsia="Helv" w:cs="Helv" w:ascii="Arial" w:hAnsi="Arial"/>
          <w:b w:val="false"/>
          <w:i/>
          <w:iCs/>
          <w:color w:val="auto"/>
          <w:sz w:val="22"/>
          <w:szCs w:val="22"/>
          <w:u w:val="none"/>
          <w:shd w:fill="auto" w:val="clear"/>
          <w:lang w:val="ca-ES"/>
        </w:rPr>
        <w:t xml:space="preserve">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 xml:space="preserve">indicada en la taula de dades bàsiques del contracte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H</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per participar en la present licitació.</w:t>
      </w:r>
    </w:p>
    <w:p>
      <w:pPr>
        <w:pStyle w:val="BodyText"/>
        <w:numPr>
          <w:ilvl w:val="0"/>
          <w:numId w:val="0"/>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0"/>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0"/>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0"/>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6</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0"/>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7.-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numPr>
          <w:ilvl w:val="0"/>
          <w:numId w:val="0"/>
        </w:numPr>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15</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0"/>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9.</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23</w:t>
      </w:r>
      <w:r>
        <w:rPr>
          <w:rFonts w:eastAsia="Arial" w:cs="Arial" w:ascii="Arial" w:hAnsi="Arial"/>
          <w:b w:val="false"/>
          <w:i/>
          <w:iCs/>
          <w:color w:val="000000"/>
          <w:sz w:val="22"/>
          <w:szCs w:val="22"/>
          <w:shd w:fill="auto" w:val="clear"/>
          <w:lang w:val="ca-ES"/>
        </w:rPr>
        <w:t xml:space="preserve"> d'aquest plec.</w:t>
      </w:r>
    </w:p>
    <w:p>
      <w:pPr>
        <w:pStyle w:val="BodyText"/>
        <w:numPr>
          <w:ilvl w:val="0"/>
          <w:numId w:val="0"/>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10</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0"/>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0"/>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0"/>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0"/>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2</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0"/>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3</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0"/>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4</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numPr>
          <w:ilvl w:val="0"/>
          <w:numId w:val="0"/>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5.- Que es disposa d</w:t>
      </w:r>
      <w:r>
        <w:rPr>
          <w:rFonts w:ascii="Arial" w:hAnsi="Arial"/>
          <w:bCs w:val="false"/>
          <w:i/>
          <w:iCs/>
          <w:color w:val="000000"/>
          <w:sz w:val="22"/>
          <w:szCs w:val="22"/>
          <w:shd w:fill="FFFFFF" w:val="clear"/>
          <w:lang w:val="ca-ES" w:eastAsia="zh-CN" w:bidi="hi-IN"/>
        </w:rPr>
        <w:t>e l’</w:t>
      </w:r>
      <w:r>
        <w:rPr>
          <w:rFonts w:ascii="Arial" w:hAnsi="Arial"/>
          <w:bCs w:val="false"/>
          <w:i/>
          <w:iCs/>
          <w:color w:val="000000"/>
          <w:sz w:val="22"/>
          <w:szCs w:val="22"/>
          <w:shd w:fill="FFFFFF" w:val="clear"/>
          <w:lang w:val="ca-ES" w:eastAsia="zh-CN" w:bidi="hi-IN"/>
        </w:rPr>
        <w:t xml:space="preserve">avaluació de riscos laborals conforme la normativa vigent. </w:t>
      </w:r>
    </w:p>
    <w:p>
      <w:pPr>
        <w:pStyle w:val="BodyText"/>
        <w:numPr>
          <w:ilvl w:val="0"/>
          <w:numId w:val="0"/>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0"/>
        </w:numPr>
        <w:pBdr/>
        <w:bidi w:val="0"/>
        <w:spacing w:lineRule="auto" w:line="276"/>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6</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numPr>
          <w:ilvl w:val="0"/>
          <w:numId w:val="0"/>
        </w:numPr>
        <w:pBdr/>
        <w:bidi w:val="0"/>
        <w:spacing w:lineRule="auto" w:line="276"/>
        <w:ind w:hanging="0" w:left="0" w:right="0"/>
        <w:jc w:val="both"/>
        <w:rPr>
          <w:rFonts w:ascii="Arial" w:hAnsi="Arial"/>
          <w:i/>
          <w:iCs/>
          <w:color w:val="000000"/>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BodyText"/>
        <w:widowControl/>
        <w:numPr>
          <w:ilvl w:val="0"/>
          <w:numId w:val="0"/>
        </w:numPr>
        <w:pBdr/>
        <w:tabs>
          <w:tab w:val="clear" w:pos="709"/>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7</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0"/>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numPr>
          <w:ilvl w:val="0"/>
          <w:numId w:val="0"/>
        </w:numPr>
        <w:pBdr/>
        <w:tabs>
          <w:tab w:val="clear" w:pos="709"/>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widowControl/>
        <w:numPr>
          <w:ilvl w:val="0"/>
          <w:numId w:val="0"/>
        </w:numPr>
        <w:pBdr/>
        <w:tabs>
          <w:tab w:val="clear" w:pos="709"/>
        </w:tabs>
        <w:bidi w:val="0"/>
        <w:spacing w:before="57" w:after="57"/>
        <w:ind w:hanging="0" w:left="0" w:right="0"/>
        <w:jc w:val="both"/>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18.- Que l’empresa disposa d’un certificat de conformitat amb l’Esquema Nacional de Seguretat en categoria MITJANA o superior, vigent i emès per una entitat de certificació acreditada per l’Entitat Nacional d’Acreditació o organisme equivalent legalment reconegut, i que l’abast del certificat inclou els sistemes, serveis i infraestructures que s’utilitzaran en l’execució del contracte. Així mateix, es compromet a mantenir-lo vigent durant tota la durada del contracte i a aportar-lo, juntament amb la documentació acreditativa del seu abast, quan sigui requerit per l’Ajuntament.</w:t>
      </w:r>
    </w:p>
    <w:p>
      <w:pPr>
        <w:pStyle w:val="BodyText"/>
        <w:widowControl/>
        <w:numPr>
          <w:ilvl w:val="0"/>
          <w:numId w:val="0"/>
        </w:numPr>
        <w:pBdr/>
        <w:tabs>
          <w:tab w:val="clear" w:pos="709"/>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BodyText"/>
        <w:numPr>
          <w:ilvl w:val="0"/>
          <w:numId w:val="0"/>
        </w:numPr>
        <w:pBdr/>
        <w:bidi w:val="0"/>
        <w:spacing w:lineRule="auto" w:line="276"/>
        <w:ind w:hanging="0" w:left="0"/>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w:t>
      </w:r>
      <w:r>
        <w:rPr>
          <w:rFonts w:eastAsia="Times New Roman" w:cs="Times New Roman" w:ascii="Arial" w:hAnsi="Arial"/>
          <w:b w:val="false"/>
          <w:bCs w:val="false"/>
          <w:i w:val="false"/>
          <w:iCs w:val="false"/>
          <w:strike w:val="false"/>
          <w:dstrike w:val="false"/>
          <w:outline w:val="false"/>
          <w:shadow w:val="false"/>
          <w:color w:val="000000"/>
          <w:kern w:val="2"/>
          <w:sz w:val="22"/>
          <w:szCs w:val="22"/>
          <w:u w:val="none"/>
          <w:shd w:fill="auto" w:val="clear"/>
          <w:em w:val="none"/>
          <w:lang w:val="ca-ES" w:eastAsia="zh-CN" w:bidi="hi-IN"/>
        </w:rPr>
        <w:t xml:space="preserve">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0"/>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0"/>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0"/>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0"/>
        </w:numPr>
        <w:pBdr/>
        <w:tabs>
          <w:tab w:val="clear" w:pos="709"/>
          <w:tab w:val="left" w:pos="126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numPr>
          <w:ilvl w:val="0"/>
          <w:numId w:val="0"/>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0"/>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ascii="Arial" w:hAnsi="Arial"/>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ascii="Arial" w:hAnsi="Arial"/>
          <w:b/>
          <w:bCs/>
          <w:i/>
          <w:iCs/>
          <w:color w:val="000000"/>
          <w:sz w:val="22"/>
          <w:szCs w:val="22"/>
          <w:lang w:val="ca-ES"/>
        </w:rPr>
        <w:t>.</w:t>
      </w:r>
      <w:r>
        <w:rPr>
          <w:rFonts w:cs="Arial" w:ascii="Arial" w:hAnsi="Arial"/>
          <w:b w:val="false"/>
          <w:bCs w:val="false"/>
          <w:i/>
          <w:iCs/>
          <w:color w:val="000000"/>
          <w:sz w:val="22"/>
          <w:szCs w:val="22"/>
          <w:lang w:val="ca-ES"/>
        </w:rPr>
        <w:t>»</w:t>
      </w:r>
    </w:p>
    <w:p>
      <w:pPr>
        <w:pStyle w:val="BodyText"/>
        <w:widowControl/>
        <w:numPr>
          <w:ilvl w:val="0"/>
          <w:numId w:val="0"/>
        </w:numPr>
        <w:pBdr/>
        <w:bidi w:val="0"/>
        <w:spacing w:lineRule="auto" w:line="276" w:before="57" w:after="57"/>
        <w:ind w:hanging="0" w:left="0" w:right="0"/>
        <w:jc w:val="both"/>
        <w:rPr>
          <w:rFonts w:ascii="Arial" w:hAnsi="Arial" w:cs="Arial"/>
          <w:b w:val="false"/>
          <w:bCs w:val="false"/>
          <w:i/>
          <w:iCs/>
          <w:color w:val="000000"/>
          <w:sz w:val="22"/>
          <w:szCs w:val="22"/>
          <w:lang w:val="ca-ES"/>
        </w:rPr>
      </w:pPr>
      <w:r>
        <w:rPr>
          <w:rFonts w:cs="Arial" w:ascii="Arial" w:hAnsi="Arial"/>
          <w:b w:val="false"/>
          <w:bCs w:val="false"/>
          <w:i/>
          <w:iCs/>
          <w:color w:val="000000"/>
          <w:sz w:val="22"/>
          <w:szCs w:val="22"/>
          <w:lang w:val="ca-ES"/>
        </w:rPr>
      </w:r>
    </w:p>
    <w:p>
      <w:pPr>
        <w:pStyle w:val="BodyText"/>
        <w:widowControl/>
        <w:numPr>
          <w:ilvl w:val="0"/>
          <w:numId w:val="0"/>
        </w:numPr>
        <w:pBdr/>
        <w:bidi w:val="0"/>
        <w:spacing w:lineRule="auto" w:line="276" w:before="57" w:after="57"/>
        <w:ind w:hanging="0" w:left="0" w:right="0"/>
        <w:jc w:val="both"/>
        <w:rPr>
          <w:rFonts w:cs="Arial"/>
          <w:b w:val="false"/>
          <w:bCs w:val="false"/>
          <w:i/>
          <w:iCs/>
          <w:color w:val="000000"/>
          <w:sz w:val="22"/>
          <w:szCs w:val="22"/>
        </w:rPr>
      </w:pPr>
      <w:r>
        <w:rPr>
          <w:rFonts w:cs="Arial" w:ascii="Arial" w:hAnsi="Arial"/>
          <w:b w:val="false"/>
          <w:bCs w:val="false"/>
          <w:i/>
          <w:iCs/>
          <w:color w:val="000000"/>
          <w:sz w:val="22"/>
          <w:szCs w:val="22"/>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rPr>
        <w:color w:val="auto"/>
      </w:rPr>
    </w:lvl>
    <w:lvl w:ilvl="4">
      <w:start w:val="1"/>
      <w:numFmt w:val="decimal"/>
      <w:lvlText w:val="%5."/>
      <w:lvlJc w:val="left"/>
      <w:pPr>
        <w:tabs>
          <w:tab w:val="num" w:pos="2160"/>
        </w:tabs>
        <w:ind w:left="2160" w:hanging="360"/>
      </w:pPr>
      <w:rPr>
        <w:color w:val="auto"/>
      </w:rPr>
    </w:lvl>
    <w:lvl w:ilvl="5">
      <w:start w:val="1"/>
      <w:numFmt w:val="decimal"/>
      <w:lvlText w:val="%6."/>
      <w:lvlJc w:val="left"/>
      <w:pPr>
        <w:tabs>
          <w:tab w:val="num" w:pos="2520"/>
        </w:tabs>
        <w:ind w:left="2520" w:hanging="360"/>
      </w:pPr>
      <w:rPr>
        <w:color w:val="auto"/>
      </w:rPr>
    </w:lvl>
    <w:lvl w:ilvl="6">
      <w:start w:val="1"/>
      <w:numFmt w:val="decimal"/>
      <w:lvlText w:val="%7."/>
      <w:lvlJc w:val="left"/>
      <w:pPr>
        <w:tabs>
          <w:tab w:val="num" w:pos="2880"/>
        </w:tabs>
        <w:ind w:left="2880" w:hanging="360"/>
      </w:pPr>
      <w:rPr>
        <w:color w:val="auto"/>
      </w:rPr>
    </w:lvl>
    <w:lvl w:ilvl="7">
      <w:start w:val="1"/>
      <w:numFmt w:val="decimal"/>
      <w:lvlText w:val="%8."/>
      <w:lvlJc w:val="left"/>
      <w:pPr>
        <w:tabs>
          <w:tab w:val="num" w:pos="3240"/>
        </w:tabs>
        <w:ind w:left="3240" w:hanging="360"/>
      </w:pPr>
      <w:rPr>
        <w:color w:val="auto"/>
      </w:rPr>
    </w:lvl>
    <w:lvl w:ilvl="8">
      <w:start w:val="1"/>
      <w:numFmt w:val="decimal"/>
      <w:lvlText w:val="%9."/>
      <w:lvlJc w:val="left"/>
      <w:pPr>
        <w:tabs>
          <w:tab w:val="num" w:pos="3600"/>
        </w:tabs>
        <w:ind w:left="3600" w:hanging="360"/>
      </w:pPr>
      <w:rPr>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LO-Normal1">
    <w:name w:val="LO-Normal1"/>
    <w:qFormat/>
    <w:pPr>
      <w:widowControl w:val="false"/>
      <w:overflowPunct w:val="false"/>
      <w:bidi w:val="0"/>
      <w:jc w:val="left"/>
    </w:pPr>
    <w:rPr>
      <w:rFonts w:ascii="Liberation Serif" w:hAnsi="Liberation Serif" w:eastAsia="NSimSun" w:cs="Arial"/>
      <w:color w:val="auto"/>
      <w:kern w:val="2"/>
      <w:sz w:val="20"/>
      <w:szCs w:val="24"/>
      <w:lang w:val="ca-ES" w:eastAsia="zh-CN" w:bidi="hi-IN"/>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TOC1">
    <w:name w:val="toc 1"/>
    <w:basedOn w:val="ndex"/>
    <w:pPr>
      <w:tabs>
        <w:tab w:val="clear" w:pos="709"/>
        <w:tab w:val="right" w:pos="9638" w:leader="dot"/>
      </w:tabs>
      <w:spacing w:lineRule="auto" w:line="360"/>
      <w:ind w:hanging="0" w:left="0" w:right="0"/>
      <w:jc w:val="left"/>
    </w:pPr>
    <w:rPr>
      <w:rFonts w:ascii="Arial" w:hAnsi="Arial"/>
      <w:sz w:val="22"/>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29</TotalTime>
  <Application>LibreOffice/26.2.4.2$Windows_X86_64 LibreOffice_project/0229ac93fcf0d7cbc6376066c6f35021cef002dc</Application>
  <AppVersion>15.0000</AppVersion>
  <Pages>3</Pages>
  <Words>1163</Words>
  <Characters>6748</Characters>
  <CharactersWithSpaces>7909</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2026-07-24T13:18:30Z</dcterms:created>
  <dc:creator/>
  <dc:description/>
  <dc:language>es-ES</dc:language>
  <cp:lastModifiedBy/>
  <dcterms:modified xsi:type="dcterms:W3CDTF">2026-07-24T14:01:48Z</dcterms:modified>
  <cp:revision>4</cp:revision>
  <dc:subject/>
  <dc:title/>
</cp:coreProperties>
</file>