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66" w:rsidRPr="00F55A14" w:rsidRDefault="007E2F66" w:rsidP="007E2F66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7E2F66" w:rsidRDefault="007E2F66" w:rsidP="007E2F6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7E2F66" w:rsidRDefault="007E2F66" w:rsidP="007E2F6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Exp. </w:t>
      </w:r>
      <w:r w:rsidRPr="00315C10">
        <w:rPr>
          <w:rFonts w:ascii="Arial" w:eastAsia="Calibri" w:hAnsi="Arial" w:cs="Arial"/>
          <w:szCs w:val="24"/>
          <w:lang w:eastAsia="en-US"/>
        </w:rPr>
        <w:t>2026/</w:t>
      </w:r>
      <w:r>
        <w:rPr>
          <w:rFonts w:ascii="Arial" w:eastAsia="Calibri" w:hAnsi="Arial" w:cs="Arial"/>
          <w:szCs w:val="24"/>
          <w:lang w:eastAsia="en-US"/>
        </w:rPr>
        <w:t>2970</w:t>
      </w:r>
      <w:r w:rsidRPr="00315C10">
        <w:rPr>
          <w:rFonts w:ascii="Arial" w:eastAsia="Calibri" w:hAnsi="Arial" w:cs="Arial"/>
          <w:szCs w:val="24"/>
          <w:lang w:eastAsia="en-US"/>
        </w:rPr>
        <w:t>/3084</w:t>
      </w:r>
    </w:p>
    <w:p w:rsidR="007E2F66" w:rsidRDefault="007E2F66" w:rsidP="007E2F6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A66CF4">
        <w:rPr>
          <w:rFonts w:ascii="Arial" w:eastAsia="Calibri" w:hAnsi="Arial" w:cs="Arial"/>
          <w:szCs w:val="24"/>
          <w:lang w:eastAsia="en-US"/>
        </w:rPr>
        <w:t xml:space="preserve">Obres d’adequació de les noves oficines per a serveis tècnics a l’Espai </w:t>
      </w:r>
      <w:proofErr w:type="spellStart"/>
      <w:r w:rsidRPr="00A66CF4">
        <w:rPr>
          <w:rFonts w:ascii="Arial" w:eastAsia="Calibri" w:hAnsi="Arial" w:cs="Arial"/>
          <w:szCs w:val="24"/>
          <w:lang w:eastAsia="en-US"/>
        </w:rPr>
        <w:t>Baronda</w:t>
      </w:r>
      <w:proofErr w:type="spellEnd"/>
      <w:r w:rsidRPr="00315C10">
        <w:rPr>
          <w:rFonts w:ascii="Arial" w:eastAsia="Calibri" w:hAnsi="Arial" w:cs="Arial"/>
          <w:szCs w:val="24"/>
          <w:lang w:eastAsia="en-US"/>
        </w:rPr>
        <w:t xml:space="preserve"> al municipi d’Esplugues de Llobregat</w:t>
      </w:r>
    </w:p>
    <w:p w:rsidR="007E2F66" w:rsidRPr="00F55A14" w:rsidRDefault="007E2F66" w:rsidP="007E2F6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E2F66" w:rsidRPr="00F55A14" w:rsidRDefault="007E2F66" w:rsidP="007E2F6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E2F66" w:rsidRDefault="007E2F66" w:rsidP="007E2F66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7E2F66" w:rsidRDefault="007E2F66" w:rsidP="007E2F66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7E2F66" w:rsidRPr="009F2A5B" w:rsidRDefault="007E2F66" w:rsidP="007E2F66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294B76">
        <w:rPr>
          <w:rFonts w:ascii="Arial" w:eastAsia="Calibri" w:hAnsi="Arial" w:cs="Arial"/>
          <w:b/>
          <w:bCs/>
          <w:szCs w:val="24"/>
          <w:lang w:eastAsia="en-US"/>
        </w:rPr>
        <w:t xml:space="preserve">Obres d’adequació de les noves oficines per a serveis tècnics a l’Espai </w:t>
      </w:r>
      <w:proofErr w:type="spellStart"/>
      <w:r w:rsidRPr="00294B76">
        <w:rPr>
          <w:rFonts w:ascii="Arial" w:eastAsia="Calibri" w:hAnsi="Arial" w:cs="Arial"/>
          <w:b/>
          <w:bCs/>
          <w:szCs w:val="24"/>
          <w:lang w:eastAsia="en-US"/>
        </w:rPr>
        <w:t>Baronda</w:t>
      </w:r>
      <w:proofErr w:type="spellEnd"/>
      <w:r w:rsidRPr="0031370A">
        <w:rPr>
          <w:rFonts w:ascii="Arial" w:hAnsi="Arial" w:cs="Arial"/>
          <w:b/>
          <w:szCs w:val="24"/>
        </w:rPr>
        <w:t xml:space="preserve"> al municipi d’Esplugues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7E2F66" w:rsidRDefault="007E2F66" w:rsidP="007E2F66">
      <w:pPr>
        <w:ind w:left="709"/>
        <w:jc w:val="both"/>
        <w:rPr>
          <w:rFonts w:ascii="Arial" w:hAnsi="Arial" w:cs="Arial"/>
          <w:szCs w:val="24"/>
        </w:rPr>
      </w:pPr>
    </w:p>
    <w:p w:rsidR="007E2F66" w:rsidRDefault="007E2F66" w:rsidP="007E2F66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7E2F66" w:rsidRDefault="007E2F66" w:rsidP="007E2F66">
      <w:pPr>
        <w:pStyle w:val="Estndar"/>
      </w:pPr>
    </w:p>
    <w:tbl>
      <w:tblPr>
        <w:tblW w:w="8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1845"/>
        <w:gridCol w:w="1710"/>
      </w:tblGrid>
      <w:tr w:rsidR="007E2F66" w:rsidRPr="00CB0D93" w:rsidTr="00850EE9">
        <w:trPr>
          <w:trHeight w:val="52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CB0D93" w:rsidRDefault="007E2F66" w:rsidP="00850EE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CAPÍTOLS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CB0D93" w:rsidRDefault="007E2F66" w:rsidP="00850EE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b/>
                <w:bCs/>
                <w:sz w:val="20"/>
              </w:rPr>
              <w:t>PRESSUPOST LICITACIÓ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CB0D93" w:rsidRDefault="007E2F66" w:rsidP="00850EE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b/>
                <w:bCs/>
                <w:sz w:val="20"/>
              </w:rPr>
              <w:t>OFERTA LICITADOR</w:t>
            </w: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  <w:u w:val="single"/>
              </w:rPr>
              <w:t>FASE 1_PLANTA BAIXA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ENDERROCS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430,67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8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TANCAMENTS I DIVISÒRIES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10.892,48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ACABATS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14.515,93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FUSTERIA INTERIORS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8.263,04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FUSTERIA EXTERIORS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1.398,76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MOBILIARI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3.442,49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SERRALLERIA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736,54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INSTAL·LACIONS-TREBALLS PREVIS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2.017,77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ELECTRICITAT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39.537,36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ENLLUMENAT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9.212,95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CLIMATITZACIÓ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28.342,25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VENTILACIÓ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13.704,66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lastRenderedPageBreak/>
              <w:t>FONTANERIA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7.016,06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PROTECCIÓ CONTRA INCENDIS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10.114,30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INST.DADES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11.457,97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INST. SEGURETAT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2.270,69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sz w:val="20"/>
              </w:rPr>
            </w:pPr>
            <w:r w:rsidRPr="00CB0D93">
              <w:rPr>
                <w:sz w:val="20"/>
                <w:u w:val="single"/>
              </w:rPr>
              <w:t>FASE 2 SOTERRANI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ENDERROCS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747,10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TANCAMENTS I DIVISÒRIES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5.132,90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FUSTERIES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6.172,96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MOBILIARI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385,00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ELECTRICITAT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9.880,95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ENLLUMENAT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2.242,94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CLIMATITZACIÓ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4.746,71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VENTILACIÓ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1.089,87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PROTECCIÓ CONTRA INCENDIS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557,78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sz w:val="20"/>
              </w:rPr>
            </w:pPr>
            <w:r w:rsidRPr="00CB0D93">
              <w:rPr>
                <w:sz w:val="20"/>
              </w:rPr>
              <w:t>INST.DADES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6.508,97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sz w:val="20"/>
              </w:rPr>
            </w:pPr>
            <w:r w:rsidRPr="00CB0D93">
              <w:rPr>
                <w:sz w:val="20"/>
                <w:u w:val="single"/>
              </w:rPr>
              <w:t>ALTRES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5.736,14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sz w:val="20"/>
              </w:rPr>
            </w:pPr>
            <w:r w:rsidRPr="00CB0D93">
              <w:rPr>
                <w:sz w:val="20"/>
                <w:u w:val="single"/>
              </w:rPr>
              <w:t>GESTIÓ DE RESIDUS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4.462,91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0D93">
              <w:rPr>
                <w:b/>
                <w:bCs/>
                <w:sz w:val="20"/>
              </w:rPr>
              <w:t>4.462,91</w:t>
            </w: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sz w:val="20"/>
              </w:rPr>
            </w:pPr>
            <w:r w:rsidRPr="00CB0D93">
              <w:rPr>
                <w:sz w:val="20"/>
                <w:u w:val="single"/>
              </w:rPr>
              <w:t>SEGURETAT I SALUT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3.869,66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0D93">
              <w:rPr>
                <w:b/>
                <w:bCs/>
                <w:sz w:val="20"/>
              </w:rPr>
              <w:t>3.869,66</w:t>
            </w: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b/>
                <w:bCs/>
                <w:sz w:val="20"/>
              </w:rPr>
              <w:t>214.887,81 €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sz w:val="20"/>
              </w:rPr>
              <w:t>13 % despeses generals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27.935,42 €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sz w:val="20"/>
              </w:rPr>
              <w:t>6 % benefici industrial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12.893,27 €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b/>
                <w:bCs/>
                <w:sz w:val="20"/>
              </w:rPr>
              <w:t>Preu Execució per contracte PEC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b/>
                <w:bCs/>
                <w:sz w:val="20"/>
              </w:rPr>
              <w:t>255.716,50 €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sz w:val="20"/>
              </w:rPr>
              <w:t>21 % d’IVA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sz w:val="20"/>
              </w:rPr>
              <w:t>53.700,47 €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2F66" w:rsidRPr="00CB0D93" w:rsidTr="00850EE9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CB0D93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 w:rsidRPr="00CB0D93">
              <w:rPr>
                <w:b/>
                <w:bCs/>
                <w:sz w:val="20"/>
              </w:rPr>
              <w:t>309.416,97 €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E2F66" w:rsidRPr="00CB0D93" w:rsidRDefault="007E2F66" w:rsidP="00850EE9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7E2F66" w:rsidRPr="006549B8" w:rsidRDefault="007E2F66" w:rsidP="007E2F66">
      <w:pPr>
        <w:pStyle w:val="Estndar"/>
      </w:pPr>
    </w:p>
    <w:p w:rsidR="007E2F66" w:rsidRPr="0031370A" w:rsidRDefault="007E2F66" w:rsidP="007E2F66">
      <w:pPr>
        <w:pStyle w:val="Prrafodelista"/>
        <w:ind w:left="426"/>
        <w:jc w:val="both"/>
        <w:rPr>
          <w:rFonts w:ascii="Arial" w:hAnsi="Arial" w:cs="Arial"/>
        </w:rPr>
      </w:pPr>
    </w:p>
    <w:p w:rsidR="007E2F66" w:rsidRPr="00067E2B" w:rsidRDefault="007E2F66" w:rsidP="007E2F66">
      <w:pPr>
        <w:pStyle w:val="Prrafodelista"/>
        <w:ind w:left="426"/>
        <w:jc w:val="both"/>
        <w:rPr>
          <w:rFonts w:ascii="Arial" w:hAnsi="Arial" w:cs="Arial"/>
          <w:u w:val="single"/>
        </w:rPr>
      </w:pPr>
      <w:r w:rsidRPr="00067E2B">
        <w:rPr>
          <w:rFonts w:ascii="Arial" w:hAnsi="Arial" w:cs="Arial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(en format PDF i en format TCQ) serà exclosa del present procediment de licitació. </w:t>
      </w:r>
      <w:r w:rsidRPr="00067E2B">
        <w:rPr>
          <w:rFonts w:ascii="Arial" w:hAnsi="Arial" w:cs="Arial"/>
          <w:u w:val="single"/>
        </w:rPr>
        <w:t xml:space="preserve">Les partides sobre les que no es poden modificar els preus de projecte són les corresponents als capítols de </w:t>
      </w:r>
      <w:r>
        <w:rPr>
          <w:rFonts w:ascii="Arial" w:hAnsi="Arial" w:cs="Arial"/>
          <w:u w:val="single"/>
        </w:rPr>
        <w:t xml:space="preserve">Gestió de residus i </w:t>
      </w:r>
      <w:r w:rsidRPr="00067E2B">
        <w:rPr>
          <w:rFonts w:ascii="Arial" w:hAnsi="Arial" w:cs="Arial"/>
          <w:u w:val="single"/>
        </w:rPr>
        <w:t>Seguretat i Salut (incloses al PEM del pressupost del projecte)</w:t>
      </w:r>
    </w:p>
    <w:p w:rsidR="007E2F66" w:rsidRPr="00067E2B" w:rsidRDefault="007E2F66" w:rsidP="007E2F66">
      <w:pPr>
        <w:pStyle w:val="Prrafodelista"/>
        <w:ind w:left="426"/>
        <w:jc w:val="both"/>
        <w:rPr>
          <w:rFonts w:ascii="Arial" w:hAnsi="Arial" w:cs="Arial"/>
          <w:szCs w:val="22"/>
        </w:rPr>
      </w:pPr>
    </w:p>
    <w:p w:rsidR="007E2F66" w:rsidRDefault="007E2F66" w:rsidP="007E2F66">
      <w:pPr>
        <w:ind w:left="851"/>
        <w:jc w:val="both"/>
        <w:rPr>
          <w:rFonts w:ascii="Arial" w:hAnsi="Arial" w:cs="Arial"/>
          <w:szCs w:val="24"/>
        </w:rPr>
      </w:pPr>
    </w:p>
    <w:p w:rsidR="007E2F66" w:rsidRPr="00745510" w:rsidRDefault="007E2F66" w:rsidP="007E2F66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7E2F66" w:rsidRPr="0028743A" w:rsidRDefault="007E2F66" w:rsidP="007E2F66">
      <w:pPr>
        <w:jc w:val="both"/>
        <w:rPr>
          <w:rFonts w:ascii="Arial" w:hAnsi="Arial" w:cs="Arial"/>
          <w:i/>
          <w:color w:val="auto"/>
          <w:szCs w:val="24"/>
        </w:rPr>
      </w:pPr>
    </w:p>
    <w:p w:rsidR="007E2F66" w:rsidRPr="00BF6B3A" w:rsidRDefault="007E2F66" w:rsidP="007E2F6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 xml:space="preserve">Millora </w:t>
      </w:r>
      <w:r>
        <w:rPr>
          <w:rFonts w:ascii="Arial" w:hAnsi="Arial" w:cs="Arial"/>
          <w:b/>
        </w:rPr>
        <w:t xml:space="preserve">1. Ampliació del termini de garantia. </w:t>
      </w:r>
    </w:p>
    <w:p w:rsidR="007E2F66" w:rsidRDefault="007E2F66" w:rsidP="007E2F66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pPr w:leftFromText="180" w:rightFromText="180" w:topFromText="180" w:bottomFromText="180" w:vertAnchor="text" w:tblpX="-179"/>
        <w:tblW w:w="9315" w:type="dxa"/>
        <w:tblLayout w:type="fixed"/>
        <w:tblLook w:val="0600" w:firstRow="0" w:lastRow="0" w:firstColumn="0" w:lastColumn="0" w:noHBand="1" w:noVBand="1"/>
      </w:tblPr>
      <w:tblGrid>
        <w:gridCol w:w="1110"/>
        <w:gridCol w:w="7440"/>
        <w:gridCol w:w="765"/>
      </w:tblGrid>
      <w:tr w:rsidR="007E2F66" w:rsidRPr="0031370A" w:rsidTr="00850EE9">
        <w:trPr>
          <w:trHeight w:val="330"/>
        </w:trPr>
        <w:tc>
          <w:tcPr>
            <w:tcW w:w="1110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Millora 1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  <w:lang w:val="ca"/>
              </w:rPr>
              <w:t>Augment del termini de garantia previst al plec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7E2F66" w:rsidRPr="0031370A" w:rsidTr="00850EE9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No ofereix ampliació de termini addicional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7E2F66">
            <w:pPr>
              <w:keepLines/>
              <w:widowControl w:val="0"/>
              <w:numPr>
                <w:ilvl w:val="0"/>
                <w:numId w:val="4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7E2F66" w:rsidRPr="0031370A" w:rsidTr="00850EE9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1 any addicional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7E2F66">
            <w:pPr>
              <w:keepLines/>
              <w:widowControl w:val="0"/>
              <w:numPr>
                <w:ilvl w:val="0"/>
                <w:numId w:val="2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7E2F66" w:rsidRPr="0031370A" w:rsidTr="00850EE9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850EE9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2 anys addicionals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2F66" w:rsidRPr="0031370A" w:rsidRDefault="007E2F66" w:rsidP="007E2F66">
            <w:pPr>
              <w:keepLines/>
              <w:widowControl w:val="0"/>
              <w:numPr>
                <w:ilvl w:val="0"/>
                <w:numId w:val="3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</w:tbl>
    <w:p w:rsidR="007E2F66" w:rsidRDefault="007E2F66" w:rsidP="007E2F6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7E2F66" w:rsidRPr="0031370A" w:rsidRDefault="007E2F66" w:rsidP="007E2F66">
      <w:pPr>
        <w:keepLines/>
        <w:spacing w:before="120" w:after="120" w:line="276" w:lineRule="auto"/>
        <w:ind w:left="-135" w:right="-136"/>
        <w:rPr>
          <w:rFonts w:ascii="Arial" w:hAnsi="Arial" w:cs="Arial"/>
          <w:sz w:val="20"/>
        </w:rPr>
      </w:pPr>
      <w:r w:rsidRPr="0031370A">
        <w:rPr>
          <w:rFonts w:ascii="Arial" w:hAnsi="Arial" w:cs="Arial"/>
          <w:sz w:val="20"/>
        </w:rPr>
        <w:t>Si no s’indica cap casella o s’indica més d’una no es puntuarà la millora.</w:t>
      </w:r>
    </w:p>
    <w:p w:rsidR="007E2F66" w:rsidRPr="00D053AE" w:rsidRDefault="007E2F66" w:rsidP="007E2F6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7E2F66" w:rsidRDefault="007E2F66" w:rsidP="007E2F66">
      <w:pPr>
        <w:ind w:left="709"/>
        <w:jc w:val="both"/>
        <w:rPr>
          <w:rFonts w:ascii="Arial" w:hAnsi="Arial" w:cs="Arial"/>
          <w:szCs w:val="24"/>
        </w:rPr>
      </w:pPr>
    </w:p>
    <w:p w:rsidR="007E2F66" w:rsidRDefault="007E2F66" w:rsidP="007E2F66">
      <w:pPr>
        <w:ind w:left="709"/>
        <w:jc w:val="both"/>
        <w:rPr>
          <w:rFonts w:ascii="Arial" w:hAnsi="Arial" w:cs="Arial"/>
          <w:szCs w:val="24"/>
        </w:rPr>
      </w:pPr>
    </w:p>
    <w:p w:rsidR="007E2F66" w:rsidRDefault="007E2F66" w:rsidP="007E2F66">
      <w:pPr>
        <w:ind w:left="709"/>
        <w:jc w:val="both"/>
        <w:rPr>
          <w:rFonts w:ascii="Arial" w:hAnsi="Arial" w:cs="Arial"/>
          <w:szCs w:val="24"/>
        </w:rPr>
      </w:pPr>
    </w:p>
    <w:p w:rsidR="007E2F66" w:rsidRPr="00AE1DFA" w:rsidRDefault="007E2F66" w:rsidP="007E2F66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</w:t>
      </w:r>
    </w:p>
    <w:p w:rsidR="00905C36" w:rsidRDefault="00905C36">
      <w:bookmarkStart w:id="0" w:name="_GoBack"/>
      <w:bookmarkEnd w:id="0"/>
    </w:p>
    <w:sectPr w:rsidR="00905C36" w:rsidSect="00B44F7F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0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7E2F66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B3A" w:rsidRDefault="007E2F66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7E2F66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BF6B3A" w:rsidRDefault="007E2F66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7E2F66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7E2F66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594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7E2F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7F" w:rsidRDefault="007E2F66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:rsidR="00BF6B3A" w:rsidRDefault="007E2F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0916"/>
    <w:multiLevelType w:val="multilevel"/>
    <w:tmpl w:val="A0CAE8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39E426F"/>
    <w:multiLevelType w:val="multilevel"/>
    <w:tmpl w:val="A4362C1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BE5CCF"/>
    <w:multiLevelType w:val="multilevel"/>
    <w:tmpl w:val="8E80533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66"/>
    <w:rsid w:val="007E2F66"/>
    <w:rsid w:val="00905C36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9D9E4-951B-4FE7-9E60-E54A1BC9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F66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7E2F66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7E2F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6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7E2F66"/>
  </w:style>
  <w:style w:type="character" w:customStyle="1" w:styleId="EstndarCar">
    <w:name w:val="Estándar Car"/>
    <w:link w:val="Estndar"/>
    <w:rsid w:val="007E2F6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E2F66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7E2F66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E2F66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7E2F6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2026-07-22T11:29:00Z</dcterms:created>
  <dcterms:modified xsi:type="dcterms:W3CDTF">2026-07-22T11:29:00Z</dcterms:modified>
</cp:coreProperties>
</file>