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rPr>
        <w:t>DECLARACIÓ RESPONSABLE</w:t>
      </w:r>
    </w:p>
    <w:p>
      <w:pPr>
        <w:pStyle w:val="Normal"/>
        <w:bidi w:val="0"/>
        <w:jc w:val="left"/>
        <w:rPr>
          <w:rFonts w:ascii="Arial" w:hAnsi="Arial"/>
          <w:b/>
          <w:bCs/>
          <w:sz w:val="22"/>
          <w:szCs w:val="22"/>
        </w:rPr>
      </w:pPr>
      <w:r>
        <w:rPr>
          <w:rFonts w:ascii="Arial" w:hAnsi="Arial"/>
          <w:b/>
          <w:bCs/>
          <w:sz w:val="22"/>
          <w:szCs w:val="22"/>
        </w:rPr>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en el sobre únic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Exp. 20.../...: Documentació administrativa per participar en el procediment obert simplificat abreujat (sumari) per a la contractació del servei ................................. , presentada per ................................."</w:t>
      </w:r>
    </w:p>
    <w:p>
      <w:pPr>
        <w:pStyle w:val="Normal"/>
        <w:bidi w:val="0"/>
        <w:spacing w:lineRule="auto" w:line="276"/>
        <w:jc w:val="both"/>
        <w:rPr>
          <w:rFonts w:ascii="Arial" w:hAnsi="Arial" w:eastAsia="Arial" w:cs="Arial"/>
          <w:b w:val="false"/>
          <w:bCs w:val="false"/>
          <w:i/>
          <w:iCs/>
          <w:color w:val="2A6099"/>
          <w:sz w:val="22"/>
          <w:szCs w:val="22"/>
          <w:u w:val="none"/>
          <w:shd w:fill="auto" w:val="clear"/>
          <w:lang w:val="ca-ES"/>
        </w:rPr>
      </w:pPr>
      <w:r>
        <w:rPr>
          <w:rFonts w:eastAsia="Arial" w:cs="Arial" w:ascii="Arial" w:hAnsi="Arial"/>
          <w:b w:val="false"/>
          <w:bCs w:val="false"/>
          <w:i/>
          <w:iCs/>
          <w:color w:val="2A6099"/>
          <w:sz w:val="22"/>
          <w:szCs w:val="22"/>
          <w:u w:val="none"/>
          <w:shd w:fill="auto" w:val="clear"/>
          <w:lang w:val="ca-ES"/>
        </w:rPr>
      </w:r>
    </w:p>
    <w:p>
      <w:pPr>
        <w:pStyle w:val="BodyText"/>
        <w:bidi w:val="0"/>
        <w:spacing w:lineRule="auto" w:line="276"/>
        <w:ind w:hanging="0" w:left="0" w:right="0"/>
        <w:jc w:val="both"/>
        <w:rPr>
          <w:rFonts w:ascii="Arial" w:hAnsi="Arial" w:eastAsia="Arial" w:cs="Arial"/>
          <w:b/>
          <w:bCs/>
          <w:i/>
          <w:iCs/>
          <w:color w:val="000000"/>
          <w:sz w:val="22"/>
          <w:szCs w:val="22"/>
          <w:u w:val="none"/>
          <w:shd w:fill="auto" w:val="clear"/>
          <w:lang w:val="ca-ES"/>
        </w:rPr>
      </w:pPr>
      <w:r>
        <w:rPr>
          <w:rFonts w:eastAsia="Arial" w:cs="Arial" w:ascii="Arial" w:hAnsi="Arial"/>
          <w:b/>
          <w:bCs/>
          <w:i/>
          <w:iCs/>
          <w:color w:val="000000"/>
          <w:sz w:val="22"/>
          <w:szCs w:val="22"/>
          <w:u w:val="none"/>
          <w:shd w:fill="auto" w:val="clear"/>
          <w:lang w:val="ca-ES"/>
        </w:rPr>
        <w:t xml:space="preserve">Als efectes de participació en la present licitació, el licitador indica que presenta oferta al/s lot/s següent/s: </w:t>
      </w:r>
    </w:p>
    <w:p>
      <w:pPr>
        <w:pStyle w:val="Normal"/>
        <w:numPr>
          <w:ilvl w:val="0"/>
          <w:numId w:val="1"/>
        </w:numPr>
        <w:bidi w:val="0"/>
        <w:spacing w:lineRule="auto" w:line="276" w:before="57" w:after="57"/>
        <w:jc w:val="both"/>
        <w:rPr/>
      </w:pPr>
      <w:r>
        <w:rPr>
          <w:rStyle w:val="Strong"/>
          <w:rFonts w:eastAsia="Arial" w:cs="Arial" w:ascii="Arial" w:hAnsi="Arial"/>
          <w:b/>
          <w:bCs/>
          <w:i w:val="false"/>
          <w:iCs w:val="false"/>
          <w:color w:val="000000"/>
          <w:sz w:val="22"/>
          <w:szCs w:val="22"/>
          <w:u w:val="none"/>
          <w:shd w:fill="auto" w:val="clear"/>
          <w:lang w:val="ca-ES"/>
        </w:rPr>
        <w:t xml:space="preserve">☐ </w:t>
      </w:r>
      <w:r>
        <w:rPr>
          <w:rStyle w:val="Strong"/>
          <w:rFonts w:ascii="Arial" w:hAnsi="Arial"/>
          <w:i w:val="false"/>
          <w:iCs w:val="false"/>
          <w:color w:val="000000"/>
          <w:sz w:val="22"/>
          <w:szCs w:val="22"/>
        </w:rPr>
        <w:t>Lot 1:</w:t>
      </w:r>
      <w:r>
        <w:rPr>
          <w:rFonts w:ascii="Arial" w:hAnsi="Arial"/>
          <w:i w:val="false"/>
          <w:iCs w:val="false"/>
          <w:color w:val="000000"/>
          <w:sz w:val="22"/>
          <w:szCs w:val="22"/>
        </w:rPr>
        <w:t xml:space="preserve"> Auditories internes del Sistema de Gestió de la Qualitat (SGQ). </w:t>
      </w:r>
    </w:p>
    <w:p>
      <w:pPr>
        <w:pStyle w:val="Normal"/>
        <w:numPr>
          <w:ilvl w:val="0"/>
          <w:numId w:val="1"/>
        </w:numPr>
        <w:bidi w:val="0"/>
        <w:spacing w:lineRule="auto" w:line="276" w:before="57" w:after="57"/>
        <w:jc w:val="both"/>
        <w:rPr/>
      </w:pPr>
      <w:r>
        <w:rPr>
          <w:rStyle w:val="Strong"/>
          <w:rFonts w:eastAsia="Arial" w:cs="Arial" w:ascii="Arial" w:hAnsi="Arial"/>
          <w:b/>
          <w:bCs/>
          <w:i w:val="false"/>
          <w:iCs w:val="false"/>
          <w:color w:val="000000"/>
          <w:sz w:val="22"/>
          <w:szCs w:val="22"/>
          <w:u w:val="none"/>
          <w:shd w:fill="auto" w:val="clear"/>
          <w:lang w:val="ca-ES"/>
        </w:rPr>
        <w:t xml:space="preserve">☐ </w:t>
      </w:r>
      <w:r>
        <w:rPr>
          <w:rStyle w:val="Strong"/>
          <w:rFonts w:ascii="Arial" w:hAnsi="Arial"/>
          <w:i w:val="false"/>
          <w:iCs w:val="false"/>
          <w:color w:val="000000"/>
          <w:sz w:val="22"/>
          <w:szCs w:val="22"/>
        </w:rPr>
        <w:t>Lot 2:</w:t>
      </w:r>
      <w:r>
        <w:rPr>
          <w:rFonts w:ascii="Arial" w:hAnsi="Arial"/>
          <w:i w:val="false"/>
          <w:iCs w:val="false"/>
          <w:color w:val="000000"/>
          <w:sz w:val="22"/>
          <w:szCs w:val="22"/>
        </w:rPr>
        <w:t xml:space="preserve"> Auditories externes del Sistema de Gestió de la Qualitat (SGQ). </w:t>
      </w:r>
    </w:p>
    <w:p>
      <w:pPr>
        <w:pStyle w:val="Normal"/>
        <w:numPr>
          <w:ilvl w:val="0"/>
          <w:numId w:val="1"/>
        </w:numPr>
        <w:bidi w:val="0"/>
        <w:spacing w:lineRule="auto" w:line="276" w:before="57" w:after="57"/>
        <w:jc w:val="both"/>
        <w:rPr/>
      </w:pPr>
      <w:r>
        <w:rPr>
          <w:rStyle w:val="Strong"/>
          <w:rFonts w:eastAsia="Arial" w:cs="Arial" w:ascii="Arial" w:hAnsi="Arial"/>
          <w:b/>
          <w:bCs/>
          <w:i w:val="false"/>
          <w:iCs w:val="false"/>
          <w:color w:val="000000"/>
          <w:sz w:val="22"/>
          <w:szCs w:val="22"/>
          <w:u w:val="none"/>
          <w:shd w:fill="auto" w:val="clear"/>
          <w:lang w:val="ca-ES"/>
        </w:rPr>
        <w:t xml:space="preserve">☐ </w:t>
      </w:r>
      <w:r>
        <w:rPr>
          <w:rStyle w:val="Strong"/>
          <w:rFonts w:ascii="Arial" w:hAnsi="Arial"/>
          <w:i w:val="false"/>
          <w:iCs w:val="false"/>
          <w:color w:val="000000"/>
          <w:sz w:val="22"/>
          <w:szCs w:val="22"/>
        </w:rPr>
        <w:t>Lot 3:</w:t>
      </w:r>
      <w:r>
        <w:rPr>
          <w:rFonts w:ascii="Arial" w:hAnsi="Arial"/>
          <w:i w:val="false"/>
          <w:iCs w:val="false"/>
          <w:color w:val="000000"/>
          <w:sz w:val="22"/>
          <w:szCs w:val="22"/>
        </w:rPr>
        <w:t xml:space="preserve"> Auditories internes del Sistema de Gestió Ambiental (SGA). </w:t>
      </w:r>
    </w:p>
    <w:p>
      <w:pPr>
        <w:pStyle w:val="Normal"/>
        <w:numPr>
          <w:ilvl w:val="0"/>
          <w:numId w:val="1"/>
        </w:numPr>
        <w:bidi w:val="0"/>
        <w:spacing w:lineRule="auto" w:line="276" w:before="57" w:after="57"/>
        <w:jc w:val="both"/>
        <w:rPr/>
      </w:pPr>
      <w:r>
        <w:rPr>
          <w:rStyle w:val="Strong"/>
          <w:rFonts w:ascii="Arial" w:hAnsi="Arial"/>
          <w:b/>
          <w:bCs/>
          <w:i w:val="false"/>
          <w:iCs w:val="false"/>
          <w:color w:val="000000"/>
        </w:rPr>
        <w:t xml:space="preserve">☐ </w:t>
      </w:r>
      <w:r>
        <w:rPr>
          <w:rStyle w:val="Strong"/>
          <w:rFonts w:ascii="Arial" w:hAnsi="Arial"/>
          <w:i w:val="false"/>
          <w:iCs w:val="false"/>
          <w:color w:val="000000"/>
        </w:rPr>
        <w:t>Lot 4:</w:t>
      </w:r>
      <w:r>
        <w:rPr>
          <w:rFonts w:ascii="Arial" w:hAnsi="Arial"/>
          <w:i w:val="false"/>
          <w:iCs w:val="false"/>
          <w:color w:val="000000"/>
        </w:rPr>
        <w:t xml:space="preserve"> Auditories externes del Sistema de Gestió Ambiental (SGA).</w:t>
      </w:r>
      <w:r>
        <w:rPr>
          <w:rFonts w:ascii="Arial" w:hAnsi="Arial"/>
        </w:rPr>
        <w:t xml:space="preserve"> </w:t>
      </w:r>
    </w:p>
    <w:p>
      <w:pPr>
        <w:pStyle w:val="Normal"/>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per participar a la licitació 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2"/>
        </w:numP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Helv" w:cs="Helv" w:ascii="Arial" w:hAnsi="Arial"/>
          <w:b w:val="false"/>
          <w:i/>
          <w:iCs/>
          <w:color w:val="auto"/>
          <w:sz w:val="22"/>
          <w:szCs w:val="22"/>
          <w:u w:val="none"/>
          <w:shd w:fill="auto" w:val="clear"/>
          <w:lang w:val="ca-ES"/>
        </w:rPr>
        <w:t xml:space="preserve">2- Que </w:t>
      </w:r>
      <w:r>
        <w:rPr>
          <w:rFonts w:eastAsia="Helv" w:cs="Helv" w:ascii="Arial" w:hAnsi="Arial"/>
          <w:b w:val="false"/>
          <w:i/>
          <w:iCs/>
          <w:color w:val="auto"/>
          <w:sz w:val="22"/>
          <w:szCs w:val="22"/>
          <w:u w:val="single"/>
          <w:shd w:fill="auto" w:val="clear"/>
          <w:lang w:val="ca-ES"/>
        </w:rPr>
        <w:t>disposa de la so</w:t>
      </w:r>
      <w:r>
        <w:rPr>
          <w:rFonts w:eastAsia="Arial" w:cs="Arial" w:ascii="Arial" w:hAnsi="Arial"/>
          <w:b w:val="false"/>
          <w:bCs w:val="false"/>
          <w:i/>
          <w:iCs/>
          <w:color w:val="auto"/>
          <w:sz w:val="22"/>
          <w:szCs w:val="22"/>
          <w:u w:val="single"/>
          <w:shd w:fill="auto" w:val="clear"/>
          <w:lang w:val="ca-ES"/>
        </w:rPr>
        <w:t>lvència</w:t>
      </w:r>
      <w:r>
        <w:rPr>
          <w:rFonts w:eastAsia="Arial" w:cs="Arial" w:ascii="Arial" w:hAnsi="Arial"/>
          <w:b w:val="false"/>
          <w:bCs w:val="false"/>
          <w:i/>
          <w:iCs/>
          <w:color w:val="auto"/>
          <w:sz w:val="22"/>
          <w:szCs w:val="22"/>
          <w:u w:val="none"/>
          <w:shd w:fill="auto" w:val="clear"/>
          <w:lang w:val="ca-ES"/>
        </w:rPr>
        <w:t xml:space="preserve"> indicada en la taula de dades bàsiques del contracte (*H) per participar en la present licitació.</w:t>
      </w:r>
    </w:p>
    <w:p>
      <w:pPr>
        <w:pStyle w:val="BodyText"/>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3.-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En el cas de presentar-se com  a UTE cada un dels empresaris que formin l'agrupació hauran de declarar aquesta circumstància.</w:t>
      </w:r>
    </w:p>
    <w:p>
      <w:pPr>
        <w:pStyle w:val="BodyText"/>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4.-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5.-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6.-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7.- Que l'empresa està inscrita en el Cens d’empresaris, professionals o retenidors de l’agencia estatal de l’Administració Tributaria, que reflecteix l’activitat efectivament desenvolupada en la data de participació en el procediment de licitació.</w:t>
      </w:r>
    </w:p>
    <w:p>
      <w:pPr>
        <w:pStyle w:val="BodyText"/>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 Que en cas de resultar proposat com adjudicatari, es compromet a aportar la documentació assenyalada en la clàusula VI del present plec.</w:t>
      </w:r>
    </w:p>
    <w:p>
      <w:pPr>
        <w:pStyle w:val="BodyText"/>
        <w:numPr>
          <w:ilvl w:val="0"/>
          <w:numId w:val="2"/>
        </w:numP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 xml:space="preserve">9.-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BodyText"/>
        <w:numPr>
          <w:ilvl w:val="0"/>
          <w:numId w:val="2"/>
        </w:numP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10.- 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2"/>
        </w:numP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 xml:space="preserve">11.- </w:t>
      </w:r>
      <w:r>
        <w:rPr>
          <w:rFonts w:eastAsia="Helv" w:cs="Helv" w:ascii="Arial" w:hAnsi="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2"/>
        </w:numP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2"/>
        </w:numP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2"/>
        </w:numP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 xml:space="preserve">12.-  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2"/>
        </w:numP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13.- Que no discriminarà per raó de gènere, evitant a més, en tots els casos, l’ús del llenguatge i imatges sexistes. Aquesta obligació és extensiva a la documentació que presentin els licitadors. </w:t>
      </w:r>
    </w:p>
    <w:p>
      <w:pPr>
        <w:pStyle w:val="BodyText"/>
        <w:numPr>
          <w:ilvl w:val="0"/>
          <w:numId w:val="2"/>
        </w:numP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14.- Que el licitador compleix amb tots els requisits de gestió ambiental que disposa l’Ajuntament de Granollers.</w:t>
      </w:r>
    </w:p>
    <w:p>
      <w:pPr>
        <w:pStyle w:val="BodyText"/>
        <w:numPr>
          <w:ilvl w:val="0"/>
          <w:numId w:val="2"/>
        </w:numP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numPr>
          <w:ilvl w:val="0"/>
          <w:numId w:val="2"/>
        </w:numP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 xml:space="preserve">15.- Que es disposa de l’avaluació de riscos laborals conforme la normativa vigent. </w:t>
      </w:r>
    </w:p>
    <w:p>
      <w:pPr>
        <w:pStyle w:val="BodyText"/>
        <w:numPr>
          <w:ilvl w:val="0"/>
          <w:numId w:val="2"/>
        </w:numP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 w:val="false"/>
          <w:bCs w:val="false"/>
          <w:i/>
          <w:iCs/>
          <w:color w:val="000000"/>
          <w:sz w:val="22"/>
          <w:szCs w:val="22"/>
          <w:shd w:fill="FFFFFF" w:val="clear"/>
          <w:lang w:val="ca-ES" w:eastAsia="zh-CN" w:bidi="hi-IN"/>
        </w:rPr>
      </w:r>
    </w:p>
    <w:p>
      <w:pPr>
        <w:pStyle w:val="BodyText"/>
        <w:numPr>
          <w:ilvl w:val="0"/>
          <w:numId w:val="2"/>
        </w:numPr>
        <w:bidi w:val="0"/>
        <w:spacing w:lineRule="auto" w:line="276"/>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 xml:space="preserve">16.- Que d’acord amb la normativa vigent, declara ser: </w:t>
      </w:r>
      <w:r>
        <w:rP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2"/>
        </w:numPr>
        <w:tabs>
          <w:tab w:val="clear" w:pos="709"/>
        </w:tabs>
        <w:bidi w:val="0"/>
        <w:spacing w:lineRule="auto" w:line="276" w:before="0" w:after="0"/>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No PIME</w:t>
      </w:r>
    </w:p>
    <w:p>
      <w:pPr>
        <w:pStyle w:val="BodyText"/>
        <w:widowControl/>
        <w:numPr>
          <w:ilvl w:val="0"/>
          <w:numId w:val="2"/>
        </w:numP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shd w:fill="auto" w:val="clear"/>
          <w:lang w:eastAsia="zh-CN" w:bidi="hi-IN"/>
        </w:rPr>
      </w:pPr>
      <w:r>
        <w:rPr>
          <w:rFonts w:eastAsia="Times New Roman" w:cs="Times New Roman"/>
          <w:b w:val="false"/>
          <w:bCs w:val="false"/>
          <w:i/>
          <w:iCs/>
          <w:u w:val="none"/>
          <w:shd w:fill="auto" w:val="clear"/>
          <w:lang w:eastAsia="zh-CN" w:bidi="hi-IN"/>
        </w:rPr>
      </w:r>
    </w:p>
    <w:p>
      <w:pPr>
        <w:pStyle w:val="BodyText"/>
        <w:widowControl/>
        <w:numPr>
          <w:ilvl w:val="0"/>
          <w:numId w:val="2"/>
        </w:numPr>
        <w:tabs>
          <w:tab w:val="clear" w:pos="709"/>
        </w:tabs>
        <w:bidi w:val="0"/>
        <w:spacing w:lineRule="auto" w:line="276" w:before="57" w:after="57"/>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17.- 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2"/>
        </w:numP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Menys de 50    </w:t>
        <w:tab/>
        <w:t xml:space="preserve"> □ 50 o més </w:t>
      </w:r>
    </w:p>
    <w:p>
      <w:pPr>
        <w:pStyle w:val="BodyText"/>
        <w:widowControl/>
        <w:numPr>
          <w:ilvl w:val="0"/>
          <w:numId w:val="2"/>
        </w:numPr>
        <w:tabs>
          <w:tab w:val="clear" w:pos="709"/>
        </w:tabs>
        <w:bidi w:val="0"/>
        <w:spacing w:lineRule="auto" w:line="276" w:before="0" w:after="0"/>
        <w:ind w:hanging="0" w:left="0" w:right="0"/>
        <w:jc w:val="both"/>
        <w:rPr>
          <w:rStyle w:val="Fuentedeprrafopredeter"/>
          <w:rFonts w:ascii="Arial" w:hAnsi="Arial" w:eastAsia="Times New Roman" w:cs="Times New Roman"/>
          <w:b/>
          <w:bCs/>
          <w:i w:val="false"/>
          <w:iCs w:val="false"/>
          <w:color w:val="auto"/>
          <w:sz w:val="22"/>
          <w:szCs w:val="22"/>
          <w:u w:val="single"/>
          <w:shd w:fill="auto" w:val="clear"/>
          <w:lang w:val="ca-ES" w:eastAsia="zh-CN" w:bidi="hi-IN"/>
        </w:rPr>
      </w:pPr>
      <w:r>
        <w:rPr>
          <w:rFonts w:eastAsia="Times New Roman" w:cs="Times New Roman" w:ascii="Arial" w:hAnsi="Arial"/>
          <w:b/>
          <w:bCs/>
          <w:i w:val="false"/>
          <w:iCs w:val="false"/>
          <w:color w:val="auto"/>
          <w:sz w:val="22"/>
          <w:szCs w:val="22"/>
          <w:u w:val="single"/>
          <w:shd w:fill="auto" w:val="clear"/>
          <w:lang w:val="ca-ES" w:eastAsia="zh-CN" w:bidi="hi-IN"/>
        </w:rPr>
      </w:r>
    </w:p>
    <w:p>
      <w:pPr>
        <w:pStyle w:val="BodyText"/>
        <w:widowControl/>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eastAsia="Times New Roman" w:cs="Times New Roman"/>
          <w:b w:val="false"/>
          <w:bCs w:val="false"/>
          <w:i/>
          <w:iCs/>
          <w:u w:val="none"/>
          <w:lang w:eastAsia="zh-CN" w:bidi="hi-IN"/>
        </w:rPr>
      </w:r>
    </w:p>
    <w:p>
      <w:pPr>
        <w:pStyle w:val="BodyText"/>
        <w:bidi w:val="0"/>
        <w:spacing w:lineRule="auto" w:line="276"/>
        <w:jc w:val="both"/>
        <w:rPr/>
      </w:pPr>
      <w:r>
        <w:rPr>
          <w:rFonts w:ascii="Arial" w:hAnsi="Arial"/>
          <w:b/>
          <w:bCs/>
          <w:i/>
          <w:iCs/>
          <w:color w:val="000000"/>
          <w:sz w:val="22"/>
          <w:szCs w:val="22"/>
          <w:u w:val="none"/>
          <w:lang w:val="ca-ES"/>
        </w:rPr>
        <w:t>ALTRES DECLARACIONS RESPONSABLES:</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d’estar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 i/o de l'Administració de l'Estat (</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 autoritza a l’Ajuntament de Granollers a la seva consulta, i declara que la informació continguda és correcta.</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2.-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3.- </w:t>
      </w:r>
      <w:r>
        <w:rPr>
          <w:rFonts w:eastAsia="Helv" w:cs="Helv" w:ascii="Arial" w:hAnsi="Arial"/>
          <w:b w:val="false"/>
          <w:i/>
          <w:iCs/>
          <w:color w:val="000000"/>
          <w:sz w:val="22"/>
          <w:szCs w:val="22"/>
          <w:shd w:fill="auto" w:val="clear"/>
          <w:lang w:val="ca-ES"/>
        </w:rPr>
        <w:t xml:space="preserve">En el cas que el licitador compti amb 50 o més treballadors o treballadores,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BodyText"/>
        <w:numPr>
          <w:ilvl w:val="0"/>
          <w:numId w:val="2"/>
        </w:numP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 xml:space="preserve">6.- 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2"/>
        </w:numPr>
        <w:bidi w:val="0"/>
        <w:spacing w:lineRule="auto" w:line="276" w:before="57" w:after="57"/>
        <w:ind w:hanging="0" w:left="0" w:right="0"/>
        <w:jc w:val="both"/>
        <w:rPr>
          <w:rFonts w:ascii="Arial" w:hAnsi="Arial" w:eastAsia="Times New Roman" w:cs="Times New Roman"/>
          <w:b w:val="false"/>
          <w:bCs w:val="false"/>
          <w:i/>
          <w:iCs/>
          <w:color w:val="000000"/>
          <w:sz w:val="20"/>
          <w:szCs w:val="20"/>
          <w:shd w:fill="auto" w:val="clear"/>
          <w:lang w:val="ca-ES" w:eastAsia="zh-CN" w:bidi="hi-IN"/>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shd w:fill="auto" w:val="clear"/>
          <w:lang w:val="ca-ES" w:eastAsia="zh-CN" w:bidi="hi-IN"/>
        </w:rPr>
        <w:t>.</w:t>
      </w:r>
      <w:r>
        <w:rPr>
          <w:rFonts w:eastAsia="Times New Roman" w:cs="Arial"/>
          <w:b w:val="false"/>
          <w:bCs w:val="false"/>
          <w:i/>
          <w:iCs/>
          <w:color w:val="000000"/>
          <w:sz w:val="22"/>
          <w:szCs w:val="22"/>
          <w:shd w:fill="auto" w:val="clear"/>
          <w:lang w:val="ca-ES" w:eastAsia="zh-CN" w:bidi="hi-IN"/>
        </w:rPr>
        <w:t>»</w:t>
      </w:r>
    </w:p>
    <w:p>
      <w:pPr>
        <w:pStyle w:val="BodyText"/>
        <w:widowControl/>
        <w:bidi w:val="0"/>
        <w:spacing w:lineRule="auto" w:line="276" w:before="57" w:after="57"/>
        <w:ind w:hanging="0" w:left="0" w:right="0"/>
        <w:jc w:val="both"/>
        <w:rPr>
          <w:rFonts w:ascii="Arial" w:hAnsi="Arial" w:eastAsia="Times New Roman" w:cs="Arial"/>
          <w:b w:val="false"/>
          <w:bCs w:val="false"/>
          <w:i/>
          <w:iCs/>
          <w:color w:val="000000"/>
          <w:sz w:val="22"/>
          <w:szCs w:val="22"/>
          <w:shd w:fill="auto" w:val="clear"/>
          <w:lang w:val="ca-ES" w:eastAsia="zh-CN" w:bidi="hi-IN"/>
        </w:rPr>
      </w:pPr>
      <w:r>
        <w:rPr>
          <w:rFonts w:eastAsia="Times New Roman" w:cs="Arial" w:ascii="Arial" w:hAnsi="Arial"/>
          <w:b w:val="false"/>
          <w:bCs w:val="false"/>
          <w:i/>
          <w:iCs/>
          <w:color w:val="000000"/>
          <w:sz w:val="22"/>
          <w:szCs w:val="22"/>
          <w:shd w:fill="auto" w:val="clear"/>
          <w:lang w:val="ca-ES" w:eastAsia="zh-CN" w:bidi="hi-IN"/>
        </w:rPr>
      </w:r>
    </w:p>
    <w:p>
      <w:pPr>
        <w:pStyle w:val="BodyText"/>
        <w:bidi w:val="0"/>
        <w:snapToGrid w:val="false"/>
        <w:spacing w:lineRule="auto" w:line="276" w:before="57" w:after="57"/>
        <w:ind w:hanging="0" w:left="0" w:right="0"/>
        <w:jc w:val="both"/>
        <w:rPr>
          <w:rFonts w:ascii="Arial" w:hAnsi="Arial"/>
          <w:b/>
          <w:bCs/>
          <w:color w:val="000000"/>
          <w:sz w:val="22"/>
          <w:szCs w:val="22"/>
          <w:lang w:val="ca-ES"/>
        </w:rPr>
      </w:pPr>
      <w:r>
        <w:rPr>
          <w:rFonts w:ascii="Arial" w:hAnsi="Arial"/>
          <w:b/>
          <w:bCs/>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1"/>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trong">
    <w:name w:val="Strong"/>
    <w:qFormat/>
    <w:rPr>
      <w:b/>
      <w:bCs/>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O-Normal1">
    <w:name w:val="LO-Normal1"/>
    <w:qFormat/>
    <w:pPr>
      <w:widowControl w:val="false"/>
      <w:suppressAutoHyphens w:val="true"/>
      <w:overflowPunct w:val="true"/>
      <w:bidi w:val="0"/>
      <w:spacing w:before="0" w:after="0"/>
      <w:jc w:val="left"/>
    </w:pPr>
    <w:rPr>
      <w:rFonts w:ascii="Liberation Serif" w:hAnsi="Liberation Serif" w:eastAsia="NSimSun" w:cs="Arial"/>
      <w:color w:val="auto"/>
      <w:kern w:val="2"/>
      <w:sz w:val="20"/>
      <w:szCs w:val="24"/>
      <w:lang w:val="ca-ES" w:eastAsia="zh-CN" w:bidi="hi-IN"/>
    </w:rPr>
  </w:style>
  <w:style w:type="paragraph" w:styleId="Encapalamentuser">
    <w:name w:val="Encapçalament (user)"/>
    <w:basedOn w:val="Normal"/>
    <w:next w:val="BodyText"/>
    <w:qFormat/>
    <w:pPr>
      <w:keepNext w:val="true"/>
      <w:spacing w:before="240" w:after="120"/>
    </w:pPr>
    <w:rPr>
      <w:rFonts w:ascii="Liberation Sans" w:hAnsi="Liberation Sans" w:eastAsia="Microsoft YaHei" w:cs="Mangal"/>
      <w:sz w:val="28"/>
      <w:szCs w:val="28"/>
    </w:rPr>
  </w:style>
  <w:style w:type="paragraph" w:styleId="Subtitle">
    <w:name w:val="Subtitle"/>
    <w:basedOn w:val="Encapalamentuser"/>
    <w:next w:val="BodyText"/>
    <w:qFormat/>
    <w:pPr>
      <w:bidi w:val="0"/>
      <w:jc w:val="both"/>
    </w:pPr>
    <w:rPr>
      <w:rFonts w:ascii="Arial" w:hAnsi="Arial"/>
      <w:i w:val="false"/>
      <w:iCs/>
      <w:sz w:val="24"/>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LibreOffice/26.2.4.2$Windows_X86_64 LibreOffice_project/0229ac93fcf0d7cbc6376066c6f35021cef002dc</Application>
  <AppVersion>15.0000</AppVersion>
  <Pages>3</Pages>
  <Words>1149</Words>
  <Characters>6546</Characters>
  <CharactersWithSpaces>7687</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2026-07-08T13:30:04Z</dcterms:created>
  <dc:creator/>
  <dc:description/>
  <dc:language>es-ES</dc:language>
  <cp:lastModifiedBy/>
  <dcterms:modified xsi:type="dcterms:W3CDTF">2026-07-08T13:32:06Z</dcterms:modified>
  <cp:revision>2</cp:revision>
  <dc:subject/>
  <dc:title/>
</cp:coreProperties>
</file>