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A2" w:rsidRPr="00F55A14" w:rsidRDefault="00EB23A2" w:rsidP="00EB23A2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EB23A2" w:rsidRDefault="00EB23A2" w:rsidP="00EB23A2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B23A2" w:rsidRDefault="00EB23A2" w:rsidP="00EB23A2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</w:t>
      </w:r>
      <w:r>
        <w:rPr>
          <w:rFonts w:ascii="Arial" w:eastAsia="Calibri" w:hAnsi="Arial" w:cs="Arial"/>
          <w:szCs w:val="24"/>
          <w:lang w:eastAsia="en-US"/>
        </w:rPr>
        <w:t>2763</w:t>
      </w:r>
      <w:r w:rsidRPr="00315C10">
        <w:rPr>
          <w:rFonts w:ascii="Arial" w:eastAsia="Calibri" w:hAnsi="Arial" w:cs="Arial"/>
          <w:szCs w:val="24"/>
          <w:lang w:eastAsia="en-US"/>
        </w:rPr>
        <w:t>/3084</w:t>
      </w:r>
    </w:p>
    <w:p w:rsidR="00EB23A2" w:rsidRDefault="00EB23A2" w:rsidP="00EB23A2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E50607">
        <w:rPr>
          <w:rFonts w:ascii="Arial" w:eastAsia="Calibri" w:hAnsi="Arial" w:cs="Arial"/>
          <w:szCs w:val="24"/>
          <w:lang w:eastAsia="en-US"/>
        </w:rPr>
        <w:t>Obres de reubicació de l'escultura de la Porta Mítica i adequació de l'entorn amb criteris paisatgístics de la nova rotonda d'accés a la Ronda de Dalt (Sortida 13)</w:t>
      </w:r>
    </w:p>
    <w:p w:rsidR="00EB23A2" w:rsidRPr="00F55A14" w:rsidRDefault="00EB23A2" w:rsidP="00EB23A2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B23A2" w:rsidRPr="00F55A14" w:rsidRDefault="00EB23A2" w:rsidP="00EB23A2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EB23A2" w:rsidRPr="00F55A14" w:rsidRDefault="00EB23A2" w:rsidP="00EB23A2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EB23A2" w:rsidRPr="00BA22D2" w:rsidRDefault="00EB23A2" w:rsidP="00EB23A2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EB23A2" w:rsidRPr="00532B1C" w:rsidRDefault="00EB23A2" w:rsidP="00EB23A2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EB23A2" w:rsidRPr="00F55A14" w:rsidRDefault="00EB23A2" w:rsidP="00EB23A2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EB23A2" w:rsidRPr="00F55A14" w:rsidRDefault="00EB23A2" w:rsidP="00EB23A2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EB23A2" w:rsidRPr="0028743A" w:rsidRDefault="00EB23A2" w:rsidP="00EB23A2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E50607">
        <w:rPr>
          <w:rFonts w:ascii="Arial" w:hAnsi="Arial" w:cs="Arial"/>
          <w:b/>
          <w:bCs/>
        </w:rPr>
        <w:t>obres de reubicació de l'escultura de la Porta Mítica i adequació de l'entorn amb criteris paisatgístics de la nova rotonda d'accés a la Ronda de Dalt (Sortida 13)</w:t>
      </w:r>
      <w:r w:rsidRPr="00E177BB">
        <w:rPr>
          <w:rFonts w:ascii="Arial" w:hAnsi="Arial" w:cs="Arial"/>
          <w:b/>
          <w:szCs w:val="24"/>
        </w:rPr>
        <w:t xml:space="preserve"> </w:t>
      </w:r>
      <w:r w:rsidRPr="00F55A14">
        <w:rPr>
          <w:rFonts w:ascii="Arial" w:hAnsi="Arial" w:cs="Arial"/>
          <w:szCs w:val="24"/>
        </w:rPr>
        <w:t>i DECLARA RESPONSABLEMENT:</w:t>
      </w:r>
    </w:p>
    <w:p w:rsidR="00EB23A2" w:rsidRPr="00F55A14" w:rsidRDefault="00EB23A2" w:rsidP="00EB23A2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EB23A2" w:rsidRPr="00F55A14" w:rsidRDefault="00EB23A2" w:rsidP="00EB23A2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B23A2" w:rsidRPr="00F55A14" w:rsidTr="00D05A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EB23A2" w:rsidRPr="00F55A14" w:rsidTr="00D05A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EB23A2" w:rsidRPr="00F55A14" w:rsidTr="00D05A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EB23A2" w:rsidRPr="00F55A14" w:rsidTr="00D05A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EB23A2" w:rsidRPr="00F55A14" w:rsidTr="00D05A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A2" w:rsidRPr="00F55A14" w:rsidRDefault="00EB23A2" w:rsidP="00D05A3C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EB23A2" w:rsidRPr="00F55A14" w:rsidRDefault="00EB23A2" w:rsidP="00EB23A2">
      <w:pPr>
        <w:ind w:left="284"/>
        <w:jc w:val="both"/>
        <w:rPr>
          <w:rFonts w:ascii="Arial" w:hAnsi="Arial" w:cs="Arial"/>
          <w:noProof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Pr="00455E91" w:rsidRDefault="00EB23A2" w:rsidP="00EB23A2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EB23A2" w:rsidRPr="00455E91" w:rsidRDefault="00EB23A2" w:rsidP="00EB23A2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EB23A2" w:rsidRPr="00E348B0" w:rsidRDefault="00EB23A2" w:rsidP="00EB23A2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EB23A2" w:rsidRDefault="00EB23A2" w:rsidP="00EB23A2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EB23A2" w:rsidRPr="007760E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EB23A2" w:rsidRPr="007760E4" w:rsidRDefault="00EB23A2" w:rsidP="00EB23A2">
      <w:pPr>
        <w:pStyle w:val="Prrafodelista"/>
        <w:rPr>
          <w:rFonts w:ascii="Arial" w:hAnsi="Arial" w:cs="Arial"/>
          <w:szCs w:val="24"/>
        </w:rPr>
      </w:pPr>
    </w:p>
    <w:p w:rsidR="00EB23A2" w:rsidRPr="007760E4" w:rsidRDefault="00EB23A2" w:rsidP="00EB23A2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EB23A2" w:rsidRPr="00F55A14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B23A2" w:rsidRDefault="00EB23A2" w:rsidP="00EB23A2">
      <w:pPr>
        <w:pStyle w:val="Prrafodelista"/>
        <w:rPr>
          <w:rFonts w:ascii="Arial" w:hAnsi="Arial" w:cs="Arial"/>
          <w:szCs w:val="24"/>
        </w:rPr>
      </w:pPr>
    </w:p>
    <w:p w:rsidR="00EB23A2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 xml:space="preserve"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</w:t>
      </w:r>
      <w:r w:rsidRPr="005F5198">
        <w:rPr>
          <w:rFonts w:ascii="Arial" w:hAnsi="Arial" w:cs="Arial"/>
          <w:szCs w:val="24"/>
        </w:rPr>
        <w:lastRenderedPageBreak/>
        <w:t>frau fiscal o contra la Hisenda Pública, ni tampoc les empreses subcontractades.</w:t>
      </w:r>
    </w:p>
    <w:p w:rsidR="00EB23A2" w:rsidRDefault="00EB23A2" w:rsidP="00EB23A2">
      <w:pPr>
        <w:pStyle w:val="Prrafodelista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B23A2" w:rsidRPr="00F55A14" w:rsidRDefault="00EB23A2" w:rsidP="00EB23A2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EB23A2" w:rsidRPr="00F55A14" w:rsidRDefault="00EB23A2" w:rsidP="00EB23A2">
      <w:pPr>
        <w:ind w:left="1440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1440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EB23A2" w:rsidRPr="00F55A14" w:rsidRDefault="00EB23A2" w:rsidP="00EB23A2">
      <w:pPr>
        <w:ind w:left="1440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EB23A2" w:rsidRPr="00F55A14" w:rsidRDefault="00EB23A2" w:rsidP="00EB23A2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EB23A2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 xml:space="preserve">Respecte l’Impost sobre el valor afegit (IVA) l’empresa: </w:t>
      </w: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EB23A2" w:rsidRPr="00F55A14" w:rsidRDefault="00EB23A2" w:rsidP="00EB23A2">
      <w:pPr>
        <w:ind w:left="284" w:hanging="1135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EB23A2" w:rsidRPr="00F55A14" w:rsidRDefault="00EB23A2" w:rsidP="00EB23A2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EB23A2" w:rsidRPr="00F55A14" w:rsidRDefault="00EB23A2" w:rsidP="00EB23A2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B23A2" w:rsidRPr="00F55A14" w:rsidTr="00D05A3C">
        <w:tc>
          <w:tcPr>
            <w:tcW w:w="1810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EB23A2" w:rsidRPr="00F55A14" w:rsidTr="00D05A3C">
        <w:tc>
          <w:tcPr>
            <w:tcW w:w="1810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EB23A2" w:rsidRPr="00F55A14" w:rsidTr="00D05A3C">
        <w:tc>
          <w:tcPr>
            <w:tcW w:w="1810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EB23A2" w:rsidRPr="00F55A14" w:rsidRDefault="00EB23A2" w:rsidP="00D05A3C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EB23A2" w:rsidRPr="00F55A14" w:rsidRDefault="00EB23A2" w:rsidP="00EB23A2">
      <w:pPr>
        <w:ind w:left="284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EB23A2" w:rsidRPr="00F55A14" w:rsidRDefault="00EB23A2" w:rsidP="00EB23A2">
      <w:pPr>
        <w:ind w:left="426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EB23A2" w:rsidRPr="00F55A14" w:rsidRDefault="00EB23A2" w:rsidP="00EB23A2">
      <w:pPr>
        <w:ind w:left="426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EB23A2" w:rsidRPr="00F55A14" w:rsidRDefault="00EB23A2" w:rsidP="00EB23A2">
      <w:pPr>
        <w:ind w:left="709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EB23A2" w:rsidRPr="00F55A14" w:rsidRDefault="00EB23A2" w:rsidP="00EB23A2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EB23A2" w:rsidRPr="00F55A14" w:rsidRDefault="00EB23A2" w:rsidP="00EB23A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EB23A2" w:rsidRPr="00F55A14" w:rsidRDefault="00EB23A2" w:rsidP="00EB23A2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ind w:left="709" w:hanging="283"/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EB23A2" w:rsidRDefault="00EB23A2" w:rsidP="00EB23A2">
      <w:pPr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3A2" w:rsidRDefault="00EB23A2" w:rsidP="00EB23A2">
      <w:r>
        <w:separator/>
      </w:r>
    </w:p>
  </w:endnote>
  <w:endnote w:type="continuationSeparator" w:id="0">
    <w:p w:rsidR="00EB23A2" w:rsidRDefault="00EB23A2" w:rsidP="00E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3A2" w:rsidRDefault="00EB23A2" w:rsidP="00EB23A2">
      <w:r>
        <w:separator/>
      </w:r>
    </w:p>
  </w:footnote>
  <w:footnote w:type="continuationSeparator" w:id="0">
    <w:p w:rsidR="00EB23A2" w:rsidRDefault="00EB23A2" w:rsidP="00EB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3A2" w:rsidRDefault="00EB23A2">
    <w:pPr>
      <w:pStyle w:val="Encabezado"/>
    </w:pPr>
    <w:r>
      <w:rPr>
        <w:noProof/>
        <w:lang w:val="es-ES"/>
      </w:rPr>
      <w:drawing>
        <wp:inline distT="0" distB="0" distL="0" distR="0">
          <wp:extent cx="914400" cy="536575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2"/>
    <w:rsid w:val="00905C36"/>
    <w:rsid w:val="00D34A33"/>
    <w:rsid w:val="00E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6416"/>
  <w15:chartTrackingRefBased/>
  <w15:docId w15:val="{F29B236E-82E3-4A37-9356-9AD502DC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3A2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B23A2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EB23A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B23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23A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23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3A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1174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2026-07-01T11:45:00Z</dcterms:created>
  <dcterms:modified xsi:type="dcterms:W3CDTF">2026-07-01T11:48:00Z</dcterms:modified>
</cp:coreProperties>
</file>