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25;height:155" type="#_x0000_t75" id="docshape12" stroked="false">
                        <v:imagedata r:id="rId7" o:title=""/>
                      </v:shape>
                      <v:shape style="position:absolute;left:609;top:0;width:11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25;height:155" type="#_x0000_t75" id="docshape15" stroked="false">
                        <v:imagedata r:id="rId17" o:title=""/>
                      </v:shape>
                      <v:shape style="position:absolute;left:2132;top:0;width:140;height:155" type="#_x0000_t75" id="docshape16" stroked="false">
                        <v:imagedata r:id="rId12" o:title=""/>
                      </v:shape>
                      <v:shape style="position:absolute;left:1979;top:0;width:125;height:155" type="#_x0000_t75" id="docshape17" stroked="false">
                        <v:imagedata r:id="rId7" o:title=""/>
                      </v:shape>
                      <v:shape style="position:absolute;left:1827;top:0;width:11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7" o:title=""/>
                      </v:shape>
                      <v:shape style="position:absolute;left:1523;top:0;width:140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25;height:155" type="#_x0000_t75" id="docshape22" stroked="false">
                        <v:imagedata r:id="rId21" o:title=""/>
                      </v:shape>
                      <v:shape style="position:absolute;left:3046;top:0;width:140;height:155" type="#_x0000_t75" id="docshape23" stroked="false">
                        <v:imagedata r:id="rId22" o:title=""/>
                      </v:shape>
                      <v:shape style="position:absolute;left:2893;top:0;width:125;height:155" type="#_x0000_t75" id="docshape24" stroked="false">
                        <v:imagedata r:id="rId7" o:title=""/>
                      </v:shape>
                      <v:shape style="position:absolute;left:2741;top:0;width:125;height:155" type="#_x0000_t75" id="docshape25" stroked="false">
                        <v:imagedata r:id="rId13" o:title=""/>
                      </v:shape>
                      <v:shape style="position:absolute;left:2589;top:0;width:140;height:155" type="#_x0000_t75" id="docshape26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276M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613R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5K6H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6R0V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136U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URB/2026/137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URB1AI01NC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16-06-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29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l'adequació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Passeig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major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Sabadell a la nova normativa sobre seguretat sanitària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44"/>
        <w:rPr>
          <w:rFonts w:ascii="Times New Roman"/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Heading2"/>
      </w:pPr>
      <w:r>
        <w:rPr>
          <w:spacing w:val="-2"/>
        </w:rPr>
        <w:t>MODEL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COMPROMÍS</w:t>
      </w:r>
      <w:r>
        <w:rPr>
          <w:spacing w:val="-5"/>
        </w:rPr>
        <w:t> </w:t>
      </w:r>
      <w:r>
        <w:rPr>
          <w:spacing w:val="-2"/>
        </w:rPr>
        <w:t>ADSCRIPCIÓ</w:t>
      </w:r>
      <w:r>
        <w:rPr>
          <w:spacing w:val="-4"/>
        </w:rPr>
        <w:t> </w:t>
      </w:r>
      <w:r>
        <w:rPr>
          <w:spacing w:val="-2"/>
        </w:rPr>
        <w:t>MITJANS</w:t>
      </w:r>
      <w:r>
        <w:rPr>
          <w:spacing w:val="-4"/>
        </w:rPr>
        <w:t> </w:t>
      </w:r>
      <w:r>
        <w:rPr>
          <w:spacing w:val="-2"/>
        </w:rPr>
        <w:t>MATERIALS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9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mixt d’obres i serveis anomenat </w:t>
      </w:r>
      <w:r>
        <w:rPr>
          <w:rFonts w:ascii="Arial" w:hAnsi="Arial"/>
          <w:b/>
          <w:sz w:val="22"/>
        </w:rPr>
        <w:t>“</w:t>
      </w:r>
      <w:r>
        <w:rPr>
          <w:rFonts w:ascii="Arial" w:hAnsi="Arial"/>
          <w:b/>
          <w:sz w:val="20"/>
        </w:rPr>
        <w:t>Adequació de les fonts del passeig de la Plaça Major de Sabadell a la nova normativa sobre seguretat sanitària”.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/>
        <w:t>DECLARA que la societat a la qual representa, d’acord amb el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43/44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67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43/44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2026-06-25T10:38:00Z</dcterms:created>
  <dcterms:modified xsi:type="dcterms:W3CDTF">2026-06-25T10:38:00Z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