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DFB10" w14:textId="77777777" w:rsidR="00F51899" w:rsidRPr="00D94B65" w:rsidRDefault="00F51899" w:rsidP="00F51899">
      <w:pPr>
        <w:tabs>
          <w:tab w:val="left" w:pos="426"/>
          <w:tab w:val="right" w:pos="8504"/>
        </w:tabs>
        <w:autoSpaceDE w:val="0"/>
        <w:autoSpaceDN w:val="0"/>
        <w:adjustRightInd w:val="0"/>
        <w:spacing w:before="360" w:after="240"/>
        <w:jc w:val="center"/>
        <w:rPr>
          <w:rFonts w:ascii="Arial" w:hAnsi="Arial" w:cs="Arial"/>
          <w:b/>
          <w:bCs/>
          <w:color w:val="000000" w:themeColor="text1"/>
          <w:u w:val="single"/>
        </w:rPr>
      </w:pPr>
      <w:r w:rsidRPr="00D94B65">
        <w:rPr>
          <w:rFonts w:ascii="Arial" w:hAnsi="Arial" w:cs="Arial"/>
          <w:b/>
          <w:bCs/>
          <w:color w:val="000000" w:themeColor="text1"/>
          <w:u w:val="single"/>
        </w:rPr>
        <w:t>Criteris que depenen d’un judici de valor</w:t>
      </w:r>
      <w:r w:rsidRPr="00D94B65">
        <w:rPr>
          <w:rFonts w:ascii="Arial" w:hAnsi="Arial" w:cs="Arial"/>
          <w:b/>
          <w:color w:val="000000" w:themeColor="text1"/>
          <w:u w:val="single"/>
        </w:rPr>
        <w:t xml:space="preserve"> (40%)</w:t>
      </w:r>
      <w:r w:rsidRPr="00D94B65">
        <w:rPr>
          <w:rFonts w:ascii="Arial" w:hAnsi="Arial" w:cs="Arial"/>
          <w:b/>
          <w:bCs/>
          <w:color w:val="000000" w:themeColor="text1"/>
          <w:u w:val="single"/>
        </w:rPr>
        <w:t>:</w:t>
      </w:r>
    </w:p>
    <w:p w14:paraId="5DD570E6" w14:textId="77777777" w:rsidR="00F51899" w:rsidRPr="00D94B65" w:rsidRDefault="00F51899" w:rsidP="00F5189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autoSpaceDE w:val="0"/>
        <w:autoSpaceDN w:val="0"/>
        <w:adjustRightInd w:val="0"/>
        <w:spacing w:after="120"/>
        <w:jc w:val="both"/>
        <w:rPr>
          <w:rFonts w:ascii="Arial" w:hAnsi="Arial" w:cs="Arial"/>
          <w:b/>
          <w:bCs/>
          <w:color w:val="000000" w:themeColor="text1"/>
        </w:rPr>
      </w:pPr>
      <w:r w:rsidRPr="00D94B65">
        <w:rPr>
          <w:rFonts w:ascii="Arial" w:hAnsi="Arial" w:cs="Arial"/>
          <w:b/>
          <w:bCs/>
          <w:color w:val="000000" w:themeColor="text1"/>
        </w:rPr>
        <w:t xml:space="preserve">LOT 1. Projecte 50/50 d’estalvi energètic a centres educatius </w:t>
      </w:r>
    </w:p>
    <w:p w14:paraId="60590A75" w14:textId="77777777" w:rsidR="00F51899" w:rsidRPr="00D94B65" w:rsidRDefault="00F51899" w:rsidP="00F51899">
      <w:pPr>
        <w:autoSpaceDE w:val="0"/>
        <w:autoSpaceDN w:val="0"/>
        <w:adjustRightInd w:val="0"/>
        <w:spacing w:after="120"/>
        <w:jc w:val="both"/>
        <w:rPr>
          <w:rFonts w:ascii="Arial" w:hAnsi="Arial" w:cs="Arial"/>
          <w:b/>
          <w:bCs/>
          <w:color w:val="000000" w:themeColor="text1"/>
        </w:rPr>
      </w:pPr>
      <w:r w:rsidRPr="00D94B65">
        <w:rPr>
          <w:rFonts w:ascii="Arial" w:hAnsi="Arial" w:cs="Arial"/>
          <w:b/>
          <w:bCs/>
          <w:color w:val="000000" w:themeColor="text1"/>
        </w:rPr>
        <w:t>Criteri 1: Proposta de millora del càlcul dels estalvis.........................fins a 20 punts.</w:t>
      </w:r>
    </w:p>
    <w:p w14:paraId="52F321B7" w14:textId="77777777" w:rsidR="00F51899" w:rsidRPr="00D94B65" w:rsidRDefault="00F51899" w:rsidP="00F51899">
      <w:pPr>
        <w:autoSpaceDE w:val="0"/>
        <w:autoSpaceDN w:val="0"/>
        <w:adjustRightInd w:val="0"/>
        <w:spacing w:after="120"/>
        <w:jc w:val="both"/>
        <w:rPr>
          <w:rFonts w:ascii="Arial" w:hAnsi="Arial" w:cs="Arial"/>
          <w:color w:val="000000" w:themeColor="text1"/>
        </w:rPr>
      </w:pPr>
      <w:r w:rsidRPr="00D94B65">
        <w:rPr>
          <w:rFonts w:ascii="Arial" w:hAnsi="Arial" w:cs="Arial"/>
          <w:color w:val="000000" w:themeColor="text1"/>
        </w:rPr>
        <w:t xml:space="preserve">La valoració de la proposta es farà exclusivament d’acord amb els </w:t>
      </w:r>
      <w:proofErr w:type="spellStart"/>
      <w:r w:rsidRPr="00D94B65">
        <w:rPr>
          <w:rFonts w:ascii="Arial" w:hAnsi="Arial" w:cs="Arial"/>
          <w:color w:val="000000" w:themeColor="text1"/>
        </w:rPr>
        <w:t>subcriteris</w:t>
      </w:r>
      <w:proofErr w:type="spellEnd"/>
      <w:r w:rsidRPr="00D94B65">
        <w:rPr>
          <w:rFonts w:ascii="Arial" w:hAnsi="Arial" w:cs="Arial"/>
          <w:color w:val="000000" w:themeColor="text1"/>
        </w:rPr>
        <w:t xml:space="preserve"> següents:</w:t>
      </w:r>
    </w:p>
    <w:p w14:paraId="546142F2"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1.1. Definició del procediment per calcular l’estalvi d’electricitat i gas natural, ponderat en graus dia ......................................................................fins a 6 punts.</w:t>
      </w:r>
    </w:p>
    <w:p w14:paraId="3252131C"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Es valoraran els aspectes següents:</w:t>
      </w:r>
    </w:p>
    <w:p w14:paraId="11B3E0CE" w14:textId="77777777" w:rsidR="00F51899" w:rsidRPr="00D94B65" w:rsidRDefault="00F51899" w:rsidP="00F51899">
      <w:pPr>
        <w:pStyle w:val="Pargrafdellista"/>
        <w:numPr>
          <w:ilvl w:val="0"/>
          <w:numId w:val="1"/>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Identificació de totes les variables necessàries (consums, períodes, graus dia, factors de correcció, etc.).</w:t>
      </w:r>
    </w:p>
    <w:p w14:paraId="3CC40B30" w14:textId="77777777" w:rsidR="00F51899" w:rsidRPr="00D94B65" w:rsidRDefault="00F51899" w:rsidP="00F51899">
      <w:pPr>
        <w:pStyle w:val="Pargrafdellista"/>
        <w:numPr>
          <w:ilvl w:val="0"/>
          <w:numId w:val="1"/>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Descripció seqüencial del procés de càlcul (mínim 5 passos diferenciats i coherents)</w:t>
      </w:r>
      <w:r w:rsidRPr="00D94B65">
        <w:rPr>
          <w:rFonts w:ascii="Arial" w:hAnsi="Arial" w:cs="Arial"/>
          <w:color w:val="000000" w:themeColor="text1"/>
        </w:rPr>
        <w:tab/>
        <w:t>.</w:t>
      </w:r>
    </w:p>
    <w:p w14:paraId="47EE0DCC" w14:textId="77777777" w:rsidR="00F51899" w:rsidRPr="00D94B65" w:rsidRDefault="00F51899" w:rsidP="00F51899">
      <w:pPr>
        <w:pStyle w:val="Pargrafdellista"/>
        <w:numPr>
          <w:ilvl w:val="0"/>
          <w:numId w:val="1"/>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Incorporació explícita de la metodologia de ponderació per graus dia (incloent fórmula o mètode).</w:t>
      </w:r>
    </w:p>
    <w:p w14:paraId="12943164" w14:textId="77777777" w:rsidR="00F51899" w:rsidRPr="00D94B65" w:rsidRDefault="00F51899" w:rsidP="00F51899">
      <w:pPr>
        <w:pStyle w:val="Pargrafdellista"/>
        <w:numPr>
          <w:ilvl w:val="0"/>
          <w:numId w:val="1"/>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 xml:space="preserve">Definició del càlcul final d’estalvi (unitats, format i interpretació). </w:t>
      </w:r>
    </w:p>
    <w:p w14:paraId="5A377A7B"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1.2. Descripció de la metodologia de treball per a  garantir que el càlcul de l’estalvi estigui fet per la festa de cloenda ...............................................fins a 6 punts.</w:t>
      </w:r>
    </w:p>
    <w:p w14:paraId="1D62A085"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Es valoraran els aspectes següents:</w:t>
      </w:r>
    </w:p>
    <w:p w14:paraId="6BB4CE01" w14:textId="77777777" w:rsidR="00F51899" w:rsidRPr="00D94B65" w:rsidRDefault="00F51899" w:rsidP="00F51899">
      <w:pPr>
        <w:pStyle w:val="Pargrafdellista"/>
        <w:numPr>
          <w:ilvl w:val="0"/>
          <w:numId w:val="2"/>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Definició d’un cronograma amb fites i terminis concrets.</w:t>
      </w:r>
    </w:p>
    <w:p w14:paraId="124FE557" w14:textId="77777777" w:rsidR="00F51899" w:rsidRPr="00D94B65" w:rsidRDefault="00F51899" w:rsidP="00F51899">
      <w:pPr>
        <w:pStyle w:val="Pargrafdellista"/>
        <w:numPr>
          <w:ilvl w:val="0"/>
          <w:numId w:val="2"/>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Identificació de les fonts d’entrada i terminis de disponibilitat.</w:t>
      </w:r>
    </w:p>
    <w:p w14:paraId="1E1E0084" w14:textId="77777777" w:rsidR="00F51899" w:rsidRPr="00D94B65" w:rsidRDefault="00F51899" w:rsidP="00F51899">
      <w:pPr>
        <w:pStyle w:val="Pargrafdellista"/>
        <w:numPr>
          <w:ilvl w:val="0"/>
          <w:numId w:val="2"/>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Descripció de mecanismes de control i validació de dades (</w:t>
      </w:r>
      <w:proofErr w:type="spellStart"/>
      <w:r w:rsidRPr="00D94B65">
        <w:rPr>
          <w:rFonts w:ascii="Arial" w:hAnsi="Arial" w:cs="Arial"/>
          <w:i/>
          <w:iCs/>
          <w:color w:val="000000" w:themeColor="text1"/>
        </w:rPr>
        <w:t>checkpoints</w:t>
      </w:r>
      <w:proofErr w:type="spellEnd"/>
      <w:r w:rsidRPr="00D94B65">
        <w:rPr>
          <w:rFonts w:ascii="Arial" w:hAnsi="Arial" w:cs="Arial"/>
          <w:color w:val="000000" w:themeColor="text1"/>
        </w:rPr>
        <w:t>).</w:t>
      </w:r>
    </w:p>
    <w:p w14:paraId="00068D7E" w14:textId="77777777" w:rsidR="00F51899" w:rsidRPr="00D94B65" w:rsidRDefault="00F51899" w:rsidP="00F51899">
      <w:pPr>
        <w:pStyle w:val="Pargrafdellista"/>
        <w:numPr>
          <w:ilvl w:val="0"/>
          <w:numId w:val="2"/>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Previsió de mesures de contingència davant retards o dades incompletes.</w:t>
      </w:r>
    </w:p>
    <w:p w14:paraId="166EBD78"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1.3. Font de les dades: indicar l’origen i procediment d’obtenció de les dades.............................................................................................fins a 3 punts.</w:t>
      </w:r>
    </w:p>
    <w:p w14:paraId="31675BE5"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Es valoraran els aspectes següents:</w:t>
      </w:r>
    </w:p>
    <w:p w14:paraId="653D2345" w14:textId="77777777" w:rsidR="00F51899" w:rsidRPr="00D94B65" w:rsidRDefault="00F51899" w:rsidP="00F51899">
      <w:pPr>
        <w:pStyle w:val="Pargrafdellista"/>
        <w:numPr>
          <w:ilvl w:val="0"/>
          <w:numId w:val="3"/>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Identificació concreta de totes les fonts de dades (comercialitzadores, sensors, bases oficials, softwares propis etc.).</w:t>
      </w:r>
    </w:p>
    <w:p w14:paraId="757EF5D7" w14:textId="77777777" w:rsidR="00F51899" w:rsidRPr="00D94B65" w:rsidRDefault="00F51899" w:rsidP="00F51899">
      <w:pPr>
        <w:pStyle w:val="Pargrafdellista"/>
        <w:numPr>
          <w:ilvl w:val="0"/>
          <w:numId w:val="3"/>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Descripció del procediment d’obtenció i tractament de dades (extracció, validació, transformació).</w:t>
      </w:r>
    </w:p>
    <w:p w14:paraId="22AA28E7" w14:textId="77777777" w:rsidR="00F51899" w:rsidRPr="00D94B65" w:rsidRDefault="00F51899" w:rsidP="00F51899">
      <w:pPr>
        <w:pStyle w:val="Pargrafdellista"/>
        <w:numPr>
          <w:ilvl w:val="0"/>
          <w:numId w:val="3"/>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Garantia de traçabilitat (possibilitat de reproduir el càlcul amb les mateixes dades).</w:t>
      </w:r>
    </w:p>
    <w:p w14:paraId="74EFD9B1"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1.4. Presentació de les fórmules utilitzades en l’eina de càlcul i la seva explicació.........................................................................................fins a 3 punts.</w:t>
      </w:r>
    </w:p>
    <w:p w14:paraId="307F48D9"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Es valoraran els aspectes següents:</w:t>
      </w:r>
    </w:p>
    <w:p w14:paraId="1E1A75E4" w14:textId="77777777" w:rsidR="00F51899" w:rsidRPr="00D94B65" w:rsidRDefault="00F51899" w:rsidP="00F51899">
      <w:pPr>
        <w:pStyle w:val="Pargrafdellista"/>
        <w:numPr>
          <w:ilvl w:val="0"/>
          <w:numId w:val="4"/>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Inclusió de totes les fórmules utilitzades en el càlcul.</w:t>
      </w:r>
      <w:r w:rsidRPr="00D94B65">
        <w:rPr>
          <w:rFonts w:ascii="Arial" w:hAnsi="Arial" w:cs="Arial"/>
          <w:color w:val="000000" w:themeColor="text1"/>
        </w:rPr>
        <w:tab/>
      </w:r>
    </w:p>
    <w:p w14:paraId="7829631F" w14:textId="77777777" w:rsidR="00F51899" w:rsidRPr="00D94B65" w:rsidRDefault="00F51899" w:rsidP="00F51899">
      <w:pPr>
        <w:pStyle w:val="Pargrafdellista"/>
        <w:numPr>
          <w:ilvl w:val="0"/>
          <w:numId w:val="4"/>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Explicació de cada fórmula amb definició de variables.</w:t>
      </w:r>
      <w:r w:rsidRPr="00D94B65">
        <w:rPr>
          <w:rFonts w:ascii="Arial" w:hAnsi="Arial" w:cs="Arial"/>
          <w:color w:val="000000" w:themeColor="text1"/>
        </w:rPr>
        <w:tab/>
      </w:r>
    </w:p>
    <w:p w14:paraId="66CC9E69" w14:textId="77777777" w:rsidR="00F51899" w:rsidRPr="00D94B65" w:rsidRDefault="00F51899" w:rsidP="00F51899">
      <w:pPr>
        <w:pStyle w:val="Pargrafdellista"/>
        <w:numPr>
          <w:ilvl w:val="0"/>
          <w:numId w:val="4"/>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Exemplificació pràctica que permeti verificar el funcionament.</w:t>
      </w:r>
    </w:p>
    <w:p w14:paraId="52E60F9D"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lastRenderedPageBreak/>
        <w:t>1.5. Presentació de l’eina de càlcul amb un format clar i entenedor per a facilitar-ne la comprensió per part del professorat i l’Ajuntament..................fins a 2 punts.</w:t>
      </w:r>
    </w:p>
    <w:p w14:paraId="5EF1E255" w14:textId="77777777" w:rsidR="00F51899" w:rsidRPr="00D94B65" w:rsidRDefault="00F51899" w:rsidP="00F51899">
      <w:pPr>
        <w:autoSpaceDE w:val="0"/>
        <w:autoSpaceDN w:val="0"/>
        <w:adjustRightInd w:val="0"/>
        <w:spacing w:after="120"/>
        <w:ind w:left="708"/>
        <w:jc w:val="both"/>
        <w:rPr>
          <w:rFonts w:ascii="Arial" w:hAnsi="Arial" w:cs="Arial"/>
          <w:color w:val="000000" w:themeColor="text1"/>
        </w:rPr>
      </w:pPr>
      <w:r w:rsidRPr="00D94B65">
        <w:rPr>
          <w:rFonts w:ascii="Arial" w:hAnsi="Arial" w:cs="Arial"/>
          <w:color w:val="000000" w:themeColor="text1"/>
        </w:rPr>
        <w:t>Es valoraran els aspectes següents:</w:t>
      </w:r>
    </w:p>
    <w:p w14:paraId="0084D117" w14:textId="77777777" w:rsidR="00F51899" w:rsidRPr="00D94B65" w:rsidRDefault="00F51899" w:rsidP="00F51899">
      <w:pPr>
        <w:pStyle w:val="Pargrafdellista"/>
        <w:numPr>
          <w:ilvl w:val="0"/>
          <w:numId w:val="5"/>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Estructura i elements que faciliti la interpretació de les dades i els càlculs.</w:t>
      </w:r>
    </w:p>
    <w:p w14:paraId="02561CA7" w14:textId="77777777" w:rsidR="00F51899" w:rsidRPr="00D94B65" w:rsidRDefault="00F51899" w:rsidP="00F51899">
      <w:pPr>
        <w:pStyle w:val="Pargrafdellista"/>
        <w:numPr>
          <w:ilvl w:val="0"/>
          <w:numId w:val="5"/>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Instruccions d’us per usuaris no expert, navegabilitat i claredat visual.</w:t>
      </w:r>
    </w:p>
    <w:p w14:paraId="3C95D61C" w14:textId="77777777" w:rsidR="00F51899" w:rsidRPr="00D94B65" w:rsidRDefault="00F51899" w:rsidP="00F51899">
      <w:pPr>
        <w:pStyle w:val="Pargrafdellista"/>
        <w:numPr>
          <w:ilvl w:val="0"/>
          <w:numId w:val="5"/>
        </w:numPr>
        <w:autoSpaceDE w:val="0"/>
        <w:autoSpaceDN w:val="0"/>
        <w:adjustRightInd w:val="0"/>
        <w:spacing w:after="120"/>
        <w:contextualSpacing w:val="0"/>
        <w:jc w:val="both"/>
        <w:rPr>
          <w:rFonts w:ascii="Arial" w:hAnsi="Arial" w:cs="Arial"/>
          <w:color w:val="000000" w:themeColor="text1"/>
        </w:rPr>
      </w:pPr>
      <w:r w:rsidRPr="00D94B65">
        <w:rPr>
          <w:rFonts w:ascii="Arial" w:hAnsi="Arial" w:cs="Arial"/>
          <w:color w:val="000000" w:themeColor="text1"/>
        </w:rPr>
        <w:t>Presentació.</w:t>
      </w:r>
    </w:p>
    <w:p w14:paraId="5B43D249" w14:textId="77777777" w:rsidR="00F51899" w:rsidRPr="00D94B65" w:rsidRDefault="00F51899" w:rsidP="00F51899">
      <w:pPr>
        <w:spacing w:before="240" w:after="240" w:line="240" w:lineRule="auto"/>
        <w:jc w:val="both"/>
        <w:rPr>
          <w:rFonts w:ascii="Arial" w:hAnsi="Arial" w:cs="Arial"/>
          <w:color w:val="000000" w:themeColor="text1"/>
        </w:rPr>
      </w:pPr>
      <w:r w:rsidRPr="00D94B65">
        <w:rPr>
          <w:rFonts w:ascii="Arial" w:hAnsi="Arial" w:cs="Arial"/>
          <w:color w:val="000000" w:themeColor="text1"/>
        </w:rPr>
        <w:t xml:space="preserve">El contingut explicatiu de la proposta de judici de valor d’aquest criteri (excloent portada, contraportada i índex) no pot tenir una llargada superior a 5 pàgines (lletra </w:t>
      </w:r>
      <w:proofErr w:type="spellStart"/>
      <w:r w:rsidRPr="00D94B65">
        <w:rPr>
          <w:rFonts w:ascii="Arial" w:hAnsi="Arial" w:cs="Arial"/>
          <w:color w:val="000000" w:themeColor="text1"/>
        </w:rPr>
        <w:t>Arial</w:t>
      </w:r>
      <w:proofErr w:type="spellEnd"/>
      <w:r w:rsidRPr="00D94B65">
        <w:rPr>
          <w:rFonts w:ascii="Arial" w:hAnsi="Arial" w:cs="Arial"/>
          <w:color w:val="000000" w:themeColor="text1"/>
        </w:rPr>
        <w:t xml:space="preserve"> 11, interlineat senzill i marges de 2,5 cm). La informació que excedeixi de les 5 pàgines no es valorarà, llevat la captura de pantalla de l’eina de càlcul utilitzada que permeti visualitzar les fórmules utilitzades. </w:t>
      </w:r>
    </w:p>
    <w:p w14:paraId="5CE385C9" w14:textId="77777777" w:rsidR="00F51899" w:rsidRDefault="00F51899" w:rsidP="00F51899">
      <w:pPr>
        <w:autoSpaceDE w:val="0"/>
        <w:autoSpaceDN w:val="0"/>
        <w:adjustRightInd w:val="0"/>
        <w:spacing w:after="120"/>
        <w:jc w:val="both"/>
        <w:rPr>
          <w:rFonts w:ascii="Arial" w:hAnsi="Arial" w:cs="Arial"/>
          <w:b/>
          <w:bCs/>
          <w:color w:val="000000" w:themeColor="text1"/>
          <w:u w:val="single"/>
        </w:rPr>
      </w:pPr>
    </w:p>
    <w:p w14:paraId="53E73181" w14:textId="13130CEC" w:rsidR="00F51899" w:rsidRPr="00D94B65" w:rsidRDefault="00F51899" w:rsidP="00F51899">
      <w:pPr>
        <w:autoSpaceDE w:val="0"/>
        <w:autoSpaceDN w:val="0"/>
        <w:adjustRightInd w:val="0"/>
        <w:spacing w:after="120"/>
        <w:jc w:val="both"/>
        <w:rPr>
          <w:rFonts w:ascii="Arial" w:hAnsi="Arial" w:cs="Arial"/>
          <w:color w:val="000000" w:themeColor="text1"/>
        </w:rPr>
      </w:pPr>
      <w:r w:rsidRPr="00D94B65">
        <w:rPr>
          <w:rFonts w:ascii="Arial" w:hAnsi="Arial" w:cs="Arial"/>
          <w:b/>
          <w:bCs/>
          <w:color w:val="000000" w:themeColor="text1"/>
          <w:u w:val="single"/>
        </w:rPr>
        <w:t>Criteri 2</w:t>
      </w:r>
      <w:r w:rsidRPr="00D94B65">
        <w:rPr>
          <w:rFonts w:ascii="Arial" w:hAnsi="Arial" w:cs="Arial"/>
          <w:b/>
          <w:bCs/>
          <w:color w:val="000000" w:themeColor="text1"/>
        </w:rPr>
        <w:t>: Proposta de millora de l’activitat de seguiment del pla d’acció</w:t>
      </w:r>
      <w:r w:rsidRPr="00D94B65">
        <w:rPr>
          <w:rFonts w:ascii="Arial" w:hAnsi="Arial" w:cs="Arial"/>
          <w:color w:val="000000" w:themeColor="text1"/>
        </w:rPr>
        <w:t>..................................................................................................... fins a 20 punts.</w:t>
      </w:r>
    </w:p>
    <w:p w14:paraId="67630CC9" w14:textId="77777777" w:rsidR="00F51899" w:rsidRPr="00D94B65" w:rsidRDefault="00F51899" w:rsidP="00F51899">
      <w:pPr>
        <w:jc w:val="both"/>
        <w:rPr>
          <w:rFonts w:ascii="Arial" w:hAnsi="Arial" w:cs="Arial"/>
          <w:color w:val="000000" w:themeColor="text1"/>
        </w:rPr>
      </w:pPr>
      <w:r w:rsidRPr="00D94B65">
        <w:rPr>
          <w:rFonts w:ascii="Arial" w:hAnsi="Arial" w:cs="Arial"/>
          <w:color w:val="000000" w:themeColor="text1"/>
        </w:rPr>
        <w:t xml:space="preserve">Durant els mesos en que es realitzi la fase de seguiment del pla d’acció, cal que els centres escolars comptin amb un acompanyament per part de l’empresa contractista amb l’objectiu d’ajudar en la implementació de les accions definides al pla d’acció, amb supervisió i consells de l’empresa. Aquesta fase del projecte es pot consultar a l’apartat 7.1.6 i l’Annex 1 del PPT. </w:t>
      </w:r>
    </w:p>
    <w:p w14:paraId="5DEE5C93" w14:textId="77777777" w:rsidR="00F51899" w:rsidRPr="00D94B65" w:rsidRDefault="00F51899" w:rsidP="00F51899">
      <w:pPr>
        <w:jc w:val="both"/>
        <w:rPr>
          <w:rFonts w:ascii="Arial" w:hAnsi="Arial" w:cs="Arial"/>
          <w:color w:val="000000" w:themeColor="text1"/>
        </w:rPr>
      </w:pPr>
      <w:r w:rsidRPr="00D94B65">
        <w:rPr>
          <w:rFonts w:ascii="Arial" w:hAnsi="Arial" w:cs="Arial"/>
          <w:color w:val="000000" w:themeColor="text1"/>
        </w:rPr>
        <w:t xml:space="preserve">Es valorarà que l’empresa presenti una proposta de millora respecte la fase de seguiment del pla d’acció que en garanteixi el desplegament, establint els procediments necessaris per a la seva consecució. </w:t>
      </w:r>
    </w:p>
    <w:p w14:paraId="1C626047" w14:textId="77777777" w:rsidR="00F51899" w:rsidRPr="00D94B65" w:rsidRDefault="00F51899" w:rsidP="00F51899">
      <w:pPr>
        <w:spacing w:line="240" w:lineRule="auto"/>
        <w:jc w:val="both"/>
        <w:rPr>
          <w:rFonts w:ascii="Arial" w:hAnsi="Arial" w:cs="Arial"/>
          <w:color w:val="000000" w:themeColor="text1"/>
        </w:rPr>
      </w:pPr>
      <w:r w:rsidRPr="00D94B65">
        <w:rPr>
          <w:rFonts w:ascii="Arial" w:hAnsi="Arial" w:cs="Arial"/>
          <w:color w:val="000000" w:themeColor="text1"/>
        </w:rPr>
        <w:t xml:space="preserve">Concretament es valoraran els aspectes següents: </w:t>
      </w:r>
    </w:p>
    <w:p w14:paraId="0514345A" w14:textId="77777777" w:rsidR="00F51899" w:rsidRPr="00D94B65" w:rsidRDefault="00F51899" w:rsidP="00F51899">
      <w:pPr>
        <w:spacing w:line="240" w:lineRule="auto"/>
        <w:ind w:left="708"/>
        <w:jc w:val="both"/>
        <w:rPr>
          <w:rFonts w:ascii="Arial" w:hAnsi="Arial" w:cs="Arial"/>
          <w:color w:val="000000" w:themeColor="text1"/>
        </w:rPr>
      </w:pPr>
      <w:r w:rsidRPr="00D94B65">
        <w:rPr>
          <w:rFonts w:ascii="Arial" w:hAnsi="Arial" w:cs="Arial"/>
          <w:color w:val="000000" w:themeColor="text1"/>
        </w:rPr>
        <w:t>2.1. Definició de mecanismes de resposta davant de dubtes i incidències........fins a 5 punts.</w:t>
      </w:r>
    </w:p>
    <w:p w14:paraId="732908C7" w14:textId="77777777" w:rsidR="00F51899" w:rsidRPr="00D94B65" w:rsidRDefault="00F51899" w:rsidP="00F51899">
      <w:pPr>
        <w:spacing w:line="240" w:lineRule="auto"/>
        <w:ind w:left="708"/>
        <w:jc w:val="both"/>
        <w:rPr>
          <w:rFonts w:ascii="Arial" w:hAnsi="Arial" w:cs="Arial"/>
          <w:color w:val="000000" w:themeColor="text1"/>
        </w:rPr>
      </w:pPr>
      <w:r w:rsidRPr="00D94B65">
        <w:rPr>
          <w:rFonts w:ascii="Arial" w:hAnsi="Arial" w:cs="Arial"/>
          <w:color w:val="000000" w:themeColor="text1"/>
        </w:rPr>
        <w:t>2.2. Definició i qualitat de les estratègies per mantenir la motivació i participació de l’alumnat..............................................</w:t>
      </w:r>
      <w:r>
        <w:rPr>
          <w:rFonts w:ascii="Arial" w:hAnsi="Arial" w:cs="Arial"/>
          <w:color w:val="000000" w:themeColor="text1"/>
        </w:rPr>
        <w:t>.....................................</w:t>
      </w:r>
      <w:r w:rsidRPr="00D94B65">
        <w:rPr>
          <w:rFonts w:ascii="Arial" w:hAnsi="Arial" w:cs="Arial"/>
          <w:color w:val="000000" w:themeColor="text1"/>
        </w:rPr>
        <w:t xml:space="preserve">.fins a 10 punts. </w:t>
      </w:r>
    </w:p>
    <w:p w14:paraId="0842C151" w14:textId="77777777" w:rsidR="00F51899" w:rsidRPr="00D94B65" w:rsidRDefault="00F51899" w:rsidP="00F51899">
      <w:pPr>
        <w:spacing w:line="240" w:lineRule="auto"/>
        <w:ind w:left="708"/>
        <w:jc w:val="both"/>
        <w:rPr>
          <w:rFonts w:ascii="Arial" w:hAnsi="Arial" w:cs="Arial"/>
          <w:color w:val="000000" w:themeColor="text1"/>
        </w:rPr>
      </w:pPr>
      <w:r w:rsidRPr="00D94B65">
        <w:rPr>
          <w:rFonts w:ascii="Arial" w:hAnsi="Arial" w:cs="Arial"/>
          <w:color w:val="000000" w:themeColor="text1"/>
        </w:rPr>
        <w:t>2.3. Redacció i concreció d’accions específiques per a involucrar i informar a l’Ajuntament sobre les accions del pla que siguin de la seva responsabilitat...</w:t>
      </w:r>
      <w:r>
        <w:rPr>
          <w:rFonts w:ascii="Arial" w:hAnsi="Arial" w:cs="Arial"/>
          <w:color w:val="000000" w:themeColor="text1"/>
        </w:rPr>
        <w:t>..............................................................................</w:t>
      </w:r>
      <w:r w:rsidRPr="00D94B65">
        <w:rPr>
          <w:rFonts w:ascii="Arial" w:hAnsi="Arial" w:cs="Arial"/>
          <w:color w:val="000000" w:themeColor="text1"/>
        </w:rPr>
        <w:t>.fins a 5 punts.</w:t>
      </w:r>
    </w:p>
    <w:p w14:paraId="03FF0032" w14:textId="77777777" w:rsidR="00F51899" w:rsidRPr="00D94B65" w:rsidRDefault="00F51899" w:rsidP="00F51899">
      <w:pPr>
        <w:spacing w:before="240" w:after="240" w:line="240" w:lineRule="auto"/>
        <w:jc w:val="both"/>
        <w:rPr>
          <w:rFonts w:ascii="Arial" w:hAnsi="Arial" w:cs="Arial"/>
          <w:color w:val="000000" w:themeColor="text1"/>
        </w:rPr>
      </w:pPr>
      <w:r w:rsidRPr="00D94B65">
        <w:rPr>
          <w:rFonts w:ascii="Arial" w:hAnsi="Arial" w:cs="Arial"/>
          <w:color w:val="000000" w:themeColor="text1"/>
        </w:rPr>
        <w:t xml:space="preserve">El contingut explicatiu de la proposta de judici de valor d’aquest criteri (excloent portada, contraportada i índex) no pot tenir una llargada superior a 3 pàgines (lletra </w:t>
      </w:r>
      <w:proofErr w:type="spellStart"/>
      <w:r w:rsidRPr="00D94B65">
        <w:rPr>
          <w:rFonts w:ascii="Arial" w:hAnsi="Arial" w:cs="Arial"/>
          <w:color w:val="000000" w:themeColor="text1"/>
        </w:rPr>
        <w:t>Arial</w:t>
      </w:r>
      <w:proofErr w:type="spellEnd"/>
      <w:r w:rsidRPr="00D94B65">
        <w:rPr>
          <w:rFonts w:ascii="Arial" w:hAnsi="Arial" w:cs="Arial"/>
          <w:color w:val="000000" w:themeColor="text1"/>
        </w:rPr>
        <w:t xml:space="preserve"> 11, interlineat senzill i marges de 2,5 cm). La informació que excedeixi de les 3 pàgines no es valorarà.</w:t>
      </w:r>
    </w:p>
    <w:p w14:paraId="3E7F6738" w14:textId="77777777" w:rsidR="003872FC" w:rsidRDefault="003872FC"/>
    <w:sectPr w:rsidR="003872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93B5B"/>
    <w:multiLevelType w:val="hybridMultilevel"/>
    <w:tmpl w:val="B606A2B8"/>
    <w:lvl w:ilvl="0" w:tplc="AEC44474">
      <w:start w:val="1"/>
      <w:numFmt w:val="bullet"/>
      <w:lvlText w:val="‒"/>
      <w:lvlJc w:val="left"/>
      <w:pPr>
        <w:ind w:left="1068" w:hanging="360"/>
      </w:pPr>
      <w:rPr>
        <w:rFonts w:ascii="Calibri Light" w:hAnsi="Calibri Light"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CF25B73"/>
    <w:multiLevelType w:val="hybridMultilevel"/>
    <w:tmpl w:val="45D8D08C"/>
    <w:lvl w:ilvl="0" w:tplc="AEC44474">
      <w:start w:val="1"/>
      <w:numFmt w:val="bullet"/>
      <w:lvlText w:val="‒"/>
      <w:lvlJc w:val="left"/>
      <w:pPr>
        <w:ind w:left="1428" w:hanging="360"/>
      </w:pPr>
      <w:rPr>
        <w:rFonts w:ascii="Calibri Light" w:hAnsi="Calibri Light"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 w15:restartNumberingAfterBreak="0">
    <w:nsid w:val="3ED77628"/>
    <w:multiLevelType w:val="hybridMultilevel"/>
    <w:tmpl w:val="60E0CF06"/>
    <w:lvl w:ilvl="0" w:tplc="AEC44474">
      <w:start w:val="1"/>
      <w:numFmt w:val="bullet"/>
      <w:lvlText w:val="‒"/>
      <w:lvlJc w:val="left"/>
      <w:pPr>
        <w:ind w:left="1428" w:hanging="360"/>
      </w:pPr>
      <w:rPr>
        <w:rFonts w:ascii="Calibri Light" w:hAnsi="Calibri Light"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5B7862EB"/>
    <w:multiLevelType w:val="hybridMultilevel"/>
    <w:tmpl w:val="2E48D15C"/>
    <w:lvl w:ilvl="0" w:tplc="AEC44474">
      <w:start w:val="1"/>
      <w:numFmt w:val="bullet"/>
      <w:lvlText w:val="‒"/>
      <w:lvlJc w:val="left"/>
      <w:pPr>
        <w:ind w:left="1428" w:hanging="360"/>
      </w:pPr>
      <w:rPr>
        <w:rFonts w:ascii="Calibri Light" w:hAnsi="Calibri Light"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6E534376"/>
    <w:multiLevelType w:val="hybridMultilevel"/>
    <w:tmpl w:val="82FEABB4"/>
    <w:lvl w:ilvl="0" w:tplc="AEC44474">
      <w:start w:val="1"/>
      <w:numFmt w:val="bullet"/>
      <w:lvlText w:val="‒"/>
      <w:lvlJc w:val="left"/>
      <w:pPr>
        <w:ind w:left="1428" w:hanging="360"/>
      </w:pPr>
      <w:rPr>
        <w:rFonts w:ascii="Calibri Light" w:hAnsi="Calibri Light"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1750498332">
    <w:abstractNumId w:val="0"/>
  </w:num>
  <w:num w:numId="2" w16cid:durableId="2032142071">
    <w:abstractNumId w:val="3"/>
  </w:num>
  <w:num w:numId="3" w16cid:durableId="1144665160">
    <w:abstractNumId w:val="4"/>
  </w:num>
  <w:num w:numId="4" w16cid:durableId="1691563162">
    <w:abstractNumId w:val="1"/>
  </w:num>
  <w:num w:numId="5" w16cid:durableId="5991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899"/>
    <w:rsid w:val="003872FC"/>
    <w:rsid w:val="00F51899"/>
    <w:rsid w:val="00FC51FE"/>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D289"/>
  <w15:chartTrackingRefBased/>
  <w15:docId w15:val="{0B189261-8969-48C4-9F52-6862A909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899"/>
  </w:style>
  <w:style w:type="paragraph" w:styleId="Ttol1">
    <w:name w:val="heading 1"/>
    <w:basedOn w:val="Normal"/>
    <w:next w:val="Normal"/>
    <w:link w:val="Ttol1Car"/>
    <w:uiPriority w:val="9"/>
    <w:qFormat/>
    <w:rsid w:val="00F51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F51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F51899"/>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F51899"/>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F51899"/>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F51899"/>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F51899"/>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F51899"/>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F51899"/>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F51899"/>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F51899"/>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F51899"/>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F51899"/>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F51899"/>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F51899"/>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F51899"/>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F51899"/>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F51899"/>
    <w:rPr>
      <w:rFonts w:eastAsiaTheme="majorEastAsia" w:cstheme="majorBidi"/>
      <w:color w:val="272727" w:themeColor="text1" w:themeTint="D8"/>
    </w:rPr>
  </w:style>
  <w:style w:type="paragraph" w:styleId="Ttol">
    <w:name w:val="Title"/>
    <w:basedOn w:val="Normal"/>
    <w:next w:val="Normal"/>
    <w:link w:val="TtolCar"/>
    <w:uiPriority w:val="10"/>
    <w:qFormat/>
    <w:rsid w:val="00F518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F51899"/>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F51899"/>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F518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1899"/>
    <w:pPr>
      <w:spacing w:before="160"/>
      <w:jc w:val="center"/>
    </w:pPr>
    <w:rPr>
      <w:i/>
      <w:iCs/>
      <w:color w:val="404040" w:themeColor="text1" w:themeTint="BF"/>
    </w:rPr>
  </w:style>
  <w:style w:type="character" w:customStyle="1" w:styleId="CitaCar">
    <w:name w:val="Cita Car"/>
    <w:basedOn w:val="Lletraperdefectedelpargraf"/>
    <w:link w:val="Cita"/>
    <w:uiPriority w:val="29"/>
    <w:rsid w:val="00F51899"/>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F51899"/>
    <w:pPr>
      <w:ind w:left="720"/>
      <w:contextualSpacing/>
    </w:pPr>
  </w:style>
  <w:style w:type="character" w:styleId="mfasiintens">
    <w:name w:val="Intense Emphasis"/>
    <w:basedOn w:val="Lletraperdefectedelpargraf"/>
    <w:uiPriority w:val="21"/>
    <w:qFormat/>
    <w:rsid w:val="00F51899"/>
    <w:rPr>
      <w:i/>
      <w:iCs/>
      <w:color w:val="0F4761" w:themeColor="accent1" w:themeShade="BF"/>
    </w:rPr>
  </w:style>
  <w:style w:type="paragraph" w:styleId="Citaintensa">
    <w:name w:val="Intense Quote"/>
    <w:basedOn w:val="Normal"/>
    <w:next w:val="Normal"/>
    <w:link w:val="CitaintensaCar"/>
    <w:uiPriority w:val="30"/>
    <w:qFormat/>
    <w:rsid w:val="00F51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F51899"/>
    <w:rPr>
      <w:i/>
      <w:iCs/>
      <w:color w:val="0F4761" w:themeColor="accent1" w:themeShade="BF"/>
    </w:rPr>
  </w:style>
  <w:style w:type="character" w:styleId="Refernciaintensa">
    <w:name w:val="Intense Reference"/>
    <w:basedOn w:val="Lletraperdefectedelpargraf"/>
    <w:uiPriority w:val="32"/>
    <w:qFormat/>
    <w:rsid w:val="00F51899"/>
    <w:rPr>
      <w:b/>
      <w:bCs/>
      <w:smallCaps/>
      <w:color w:val="0F4761" w:themeColor="accent1" w:themeShade="BF"/>
      <w:spacing w:val="5"/>
    </w:r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F51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SANCHEZ, DAVID</dc:creator>
  <cp:keywords/>
  <dc:description/>
  <cp:lastModifiedBy>MARTINEZ SANCHEZ, DAVID</cp:lastModifiedBy>
  <cp:revision>1</cp:revision>
  <dcterms:created xsi:type="dcterms:W3CDTF">2026-06-26T07:07:00Z</dcterms:created>
  <dcterms:modified xsi:type="dcterms:W3CDTF">2026-06-26T07:09:00Z</dcterms:modified>
</cp:coreProperties>
</file>