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 xml:space="preserve"> </w:t>
      </w:r>
      <w:r>
        <w:rPr>
          <w:rFonts w:ascii="Arial" w:hAnsi="Arial"/>
          <w:b/>
          <w:bCs/>
          <w:sz w:val="22"/>
          <w:szCs w:val="22"/>
          <w:u w:val="single"/>
        </w:rPr>
        <w:t>D</w:t>
      </w:r>
      <w:r>
        <w:rPr>
          <w:rFonts w:ascii="Arial" w:hAnsi="Arial"/>
          <w:b/>
          <w:bCs/>
          <w:sz w:val="22"/>
          <w:szCs w:val="22"/>
          <w:u w:val="single"/>
        </w:rPr>
        <w:t>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2</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4</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15.-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Normal"/>
        <w:widowControl/>
        <w:numPr>
          <w:ilvl w:val="0"/>
          <w:numId w:val="1"/>
        </w:numPr>
        <w:pBdr/>
        <w:tabs>
          <w:tab w:val="clear" w:pos="709"/>
        </w:tabs>
        <w:bidi w:val="0"/>
        <w:spacing w:lineRule="auto" w:line="276" w:before="171" w:after="171"/>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b/>
          <w:bCs/>
        </w:rPr>
      </w:pPr>
      <w:r>
        <w:rPr>
          <w:rFonts w:ascii="Arial" w:hAnsi="Arial"/>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LO-Normal">
    <w:name w:val="LO-Normal"/>
    <w:qFormat/>
    <w:pPr>
      <w:widowControl/>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paragraph" w:styleId="TOC1">
    <w:name w:val="toc 1"/>
    <w:basedOn w:val="ndex"/>
    <w:pPr>
      <w:tabs>
        <w:tab w:val="clear" w:pos="709"/>
        <w:tab w:val="right" w:pos="9638" w:leader="dot"/>
      </w:tabs>
      <w:spacing w:lineRule="auto" w:line="360"/>
      <w:ind w:hanging="0" w:left="0" w:right="0"/>
      <w:jc w:val="left"/>
    </w:pPr>
    <w:rPr>
      <w:rFonts w:ascii="Arial" w:hAnsi="Arial"/>
      <w:sz w:val="22"/>
    </w:rPr>
  </w:style>
  <w:style w:type="paragraph" w:styleId="Citacienbloc">
    <w:name w:val="Citació en bloc"/>
    <w:basedOn w:val="Normal"/>
    <w:qFormat/>
    <w:pPr/>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3</Pages>
  <Words>1052</Words>
  <Characters>6098</Characters>
  <CharactersWithSpaces>7151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2026-06-25T16:07:56Z</dcterms:created>
  <dc:creator/>
  <dc:description/>
  <dc:language>es-ES</dc:language>
  <cp:lastModifiedBy/>
  <dcterms:modified xsi:type="dcterms:W3CDTF">2026-06-25T16:10:11Z</dcterms:modified>
  <cp:revision>2</cp:revision>
  <dc:subject/>
  <dc:title/>
</cp:coreProperties>
</file>