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557D4" w:rsidRPr="00410841" w:rsidRDefault="001557D4" w:rsidP="001557D4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bookmarkStart w:id="1" w:name="ANNEX5"/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  <w:bookmarkEnd w:id="1"/>
    </w:p>
    <w:p w:rsidR="001557D4" w:rsidRDefault="001557D4" w:rsidP="001557D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1557D4" w:rsidRPr="00ED08C6" w:rsidRDefault="001557D4" w:rsidP="001557D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2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4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6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7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8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9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10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1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2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2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1557D4" w:rsidRDefault="001557D4" w:rsidP="001557D4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1557D4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7443">
      <w:r>
        <w:separator/>
      </w:r>
    </w:p>
  </w:endnote>
  <w:endnote w:type="continuationSeparator" w:id="0">
    <w:p w:rsidR="00000000" w:rsidRDefault="0007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066389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077443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077443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066389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066389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066389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7443">
      <w:r>
        <w:separator/>
      </w:r>
    </w:p>
  </w:footnote>
  <w:footnote w:type="continuationSeparator" w:id="0">
    <w:p w:rsidR="00000000" w:rsidRDefault="0007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077443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389" w:rsidRPr="00A205FE">
      <w:rPr>
        <w:rFonts w:cs="Tahoma"/>
        <w:szCs w:val="24"/>
      </w:rPr>
      <w:t xml:space="preserve">UI Contractació i Compres </w:t>
    </w:r>
  </w:p>
  <w:p w:rsidR="00EB36F9" w:rsidRPr="00A205FE" w:rsidRDefault="00066389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066389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077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066389"/>
    <w:rsid w:val="00077443"/>
    <w:rsid w:val="001557D4"/>
    <w:rsid w:val="004D2A04"/>
    <w:rsid w:val="00557CBD"/>
    <w:rsid w:val="00775C9E"/>
    <w:rsid w:val="007817D7"/>
    <w:rsid w:val="008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2026-06-22T10:27:00Z</dcterms:created>
  <dcterms:modified xsi:type="dcterms:W3CDTF">2026-06-22T10:33:00Z</dcterms:modified>
</cp:coreProperties>
</file>