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1BA0" w14:textId="77777777" w:rsidR="00346253" w:rsidRPr="00C54F44" w:rsidRDefault="00346253" w:rsidP="00346253">
      <w:pPr>
        <w:pStyle w:val="Titol2"/>
        <w:numPr>
          <w:ilvl w:val="0"/>
          <w:numId w:val="0"/>
        </w:numPr>
        <w:spacing w:after="120" w:line="276" w:lineRule="auto"/>
        <w:ind w:left="574" w:hanging="432"/>
        <w:outlineLvl w:val="1"/>
      </w:pPr>
      <w:bookmarkStart w:id="0" w:name="_Toc230680952"/>
      <w:r w:rsidRPr="00C54F44">
        <w:t xml:space="preserve">Annex </w:t>
      </w:r>
      <w:r>
        <w:t>I</w:t>
      </w:r>
      <w:r w:rsidRPr="00C54F44">
        <w:t xml:space="preserve">II.- Documentació a presentar sobre </w:t>
      </w:r>
      <w:r>
        <w:t>2</w:t>
      </w:r>
      <w:bookmarkEnd w:id="0"/>
    </w:p>
    <w:p w14:paraId="6851CEB8" w14:textId="77777777" w:rsidR="00346253" w:rsidRDefault="00346253" w:rsidP="00346253">
      <w:pPr>
        <w:pStyle w:val="Peu"/>
        <w:spacing w:after="120" w:line="276" w:lineRule="auto"/>
        <w:jc w:val="both"/>
        <w:rPr>
          <w:rFonts w:ascii="Arial" w:hAnsi="Arial" w:cs="Arial"/>
          <w:szCs w:val="22"/>
          <w:lang w:val="ca-ES"/>
        </w:rPr>
      </w:pPr>
      <w:r w:rsidRPr="005B2225">
        <w:rPr>
          <w:rFonts w:ascii="Arial" w:hAnsi="Arial" w:cs="Arial"/>
          <w:lang w:val="ca-ES"/>
        </w:rPr>
        <w:t xml:space="preserve">Al Plec de Clàusules administratives particulars i prescripcions tècniques de la contractació consistent </w:t>
      </w:r>
      <w:r>
        <w:rPr>
          <w:rFonts w:ascii="Arial" w:hAnsi="Arial" w:cs="Arial"/>
          <w:lang w:val="ca-ES"/>
        </w:rPr>
        <w:t>en el subministrament de productes de neteja i higiene de</w:t>
      </w:r>
      <w:r>
        <w:rPr>
          <w:rFonts w:ascii="Arial" w:hAnsi="Arial" w:cs="Arial"/>
          <w:szCs w:val="22"/>
          <w:lang w:val="ca-ES"/>
        </w:rPr>
        <w:t xml:space="preserve"> l’Ajuntament de Santa Margarida de Montbui, el Patronat Municipal de les llars d’infants de Santa Margarida de Montbui, el Consorci de La Tossa de Montbui i Montbui Activa, SL.</w:t>
      </w:r>
    </w:p>
    <w:p w14:paraId="257463F4" w14:textId="77777777" w:rsidR="00346253" w:rsidRPr="00E84137" w:rsidRDefault="00346253" w:rsidP="00346253">
      <w:pPr>
        <w:spacing w:after="160" w:line="276" w:lineRule="auto"/>
        <w:ind w:left="11"/>
        <w:jc w:val="both"/>
        <w:rPr>
          <w:rFonts w:ascii="Arial" w:hAnsi="Arial" w:cs="Arial"/>
          <w:b/>
          <w:u w:val="single"/>
          <w:lang w:val="ca-ES"/>
        </w:rPr>
      </w:pPr>
      <w:r w:rsidRPr="00E84137">
        <w:rPr>
          <w:rFonts w:ascii="Arial" w:hAnsi="Arial" w:cs="Arial"/>
          <w:b/>
          <w:u w:val="single"/>
          <w:lang w:val="ca-ES"/>
        </w:rPr>
        <w:t>Model de proposició relativa als criteris avaluables de forma automàtica</w:t>
      </w:r>
    </w:p>
    <w:p w14:paraId="7D2B4BD2" w14:textId="77777777" w:rsidR="00346253" w:rsidRPr="005B2225" w:rsidRDefault="00346253" w:rsidP="00346253">
      <w:pPr>
        <w:pStyle w:val="Peu"/>
        <w:spacing w:after="120" w:line="276" w:lineRule="auto"/>
        <w:jc w:val="both"/>
        <w:rPr>
          <w:rFonts w:ascii="Arial" w:hAnsi="Arial" w:cs="Arial"/>
          <w:szCs w:val="22"/>
          <w:lang w:val="ca-ES"/>
        </w:rPr>
      </w:pPr>
      <w:r w:rsidRPr="00E84137">
        <w:rPr>
          <w:rFonts w:ascii="Arial" w:hAnsi="Arial" w:cs="Arial"/>
          <w:szCs w:val="22"/>
          <w:lang w:val="ca-ES"/>
        </w:rPr>
        <w:t xml:space="preserve">En/Na ....................................................................... amb NIF núm. .............................., en nom propi, (o en representació de l'empresa ..........................................., CIF núm. ........................., domiciliada a ........................................................., carrer .........................................................., núm. ........) assabentat/da de les condicions exigides per optar al contracte </w:t>
      </w:r>
      <w:r>
        <w:rPr>
          <w:rFonts w:ascii="Arial" w:hAnsi="Arial" w:cs="Arial"/>
          <w:szCs w:val="22"/>
          <w:lang w:val="ca-ES"/>
        </w:rPr>
        <w:t xml:space="preserve">de </w:t>
      </w:r>
      <w:r>
        <w:rPr>
          <w:rFonts w:ascii="Arial" w:hAnsi="Arial" w:cs="Arial"/>
          <w:lang w:val="ca-ES"/>
        </w:rPr>
        <w:t>subministrament de productes de neteja i higiene de</w:t>
      </w:r>
      <w:r>
        <w:rPr>
          <w:rFonts w:ascii="Arial" w:hAnsi="Arial" w:cs="Arial"/>
          <w:szCs w:val="22"/>
          <w:lang w:val="ca-ES"/>
        </w:rPr>
        <w:t xml:space="preserve"> l’Ajuntament de Santa Margarida de Montbui, el Patronat Municipal de les llars d’infants de Santa Margarida de Montbui, el Consorci de La Tossa de Montbui i Montbui Activa, SL.</w:t>
      </w:r>
      <w:r w:rsidRPr="00E84137">
        <w:rPr>
          <w:rFonts w:ascii="Arial" w:hAnsi="Arial" w:cs="Arial"/>
          <w:szCs w:val="22"/>
          <w:lang w:val="ca-ES"/>
        </w:rPr>
        <w:t xml:space="preserve"> (expedient </w:t>
      </w:r>
      <w:r>
        <w:rPr>
          <w:rFonts w:ascii="Arial" w:hAnsi="Arial" w:cs="Arial"/>
          <w:szCs w:val="22"/>
          <w:lang w:val="ca-ES"/>
        </w:rPr>
        <w:t>727/2026</w:t>
      </w:r>
      <w:r w:rsidRPr="00E84137">
        <w:rPr>
          <w:rFonts w:ascii="Arial" w:hAnsi="Arial" w:cs="Arial"/>
          <w:szCs w:val="22"/>
          <w:lang w:val="ca-ES"/>
        </w:rPr>
        <w:t>), es compromet a portar-la a terme amb subjecció als Plecs de Prescripcions Tècniques Particulars i de Clàusules Administratives Particulars, d’acord amb els següents  punts:</w:t>
      </w:r>
    </w:p>
    <w:p w14:paraId="0108C2BC" w14:textId="77777777" w:rsidR="00346253" w:rsidRPr="00DB4AF2" w:rsidRDefault="00346253" w:rsidP="00346253">
      <w:pPr>
        <w:spacing w:after="160"/>
        <w:jc w:val="both"/>
        <w:rPr>
          <w:rFonts w:ascii="Arial" w:hAnsi="Arial" w:cs="Arial"/>
          <w:u w:val="single"/>
          <w:lang w:val="ca-ES"/>
        </w:rPr>
      </w:pPr>
      <w:r w:rsidRPr="00DB4AF2">
        <w:rPr>
          <w:rFonts w:ascii="Arial" w:hAnsi="Arial" w:cs="Arial"/>
          <w:u w:val="single"/>
          <w:lang w:val="ca-ES"/>
        </w:rPr>
        <w:t xml:space="preserve">OFERTA ECONÒMICA [presentar addicionalment </w:t>
      </w:r>
      <w:r w:rsidRPr="00F15969">
        <w:rPr>
          <w:rFonts w:ascii="Arial" w:hAnsi="Arial" w:cs="Arial"/>
          <w:b/>
          <w:bCs/>
          <w:u w:val="single"/>
          <w:lang w:val="ca-ES"/>
        </w:rPr>
        <w:t>l’Annex IV</w:t>
      </w:r>
      <w:r>
        <w:rPr>
          <w:rFonts w:ascii="Arial" w:hAnsi="Arial" w:cs="Arial"/>
          <w:b/>
          <w:bCs/>
          <w:u w:val="single"/>
          <w:lang w:val="ca-ES"/>
        </w:rPr>
        <w:t xml:space="preserve"> (e</w:t>
      </w:r>
      <w:r w:rsidRPr="00F15969">
        <w:rPr>
          <w:rFonts w:ascii="Arial" w:hAnsi="Arial" w:cs="Arial"/>
          <w:b/>
          <w:bCs/>
          <w:u w:val="single"/>
          <w:lang w:val="ca-ES"/>
        </w:rPr>
        <w:t xml:space="preserve">l full </w:t>
      </w:r>
      <w:proofErr w:type="spellStart"/>
      <w:r w:rsidRPr="00F15969">
        <w:rPr>
          <w:rFonts w:ascii="Arial" w:hAnsi="Arial" w:cs="Arial"/>
          <w:b/>
          <w:bCs/>
          <w:u w:val="single"/>
          <w:lang w:val="ca-ES"/>
        </w:rPr>
        <w:t>d’excel</w:t>
      </w:r>
      <w:proofErr w:type="spellEnd"/>
      <w:r>
        <w:rPr>
          <w:rFonts w:ascii="Arial" w:hAnsi="Arial" w:cs="Arial"/>
          <w:u w:val="single"/>
          <w:lang w:val="ca-ES"/>
        </w:rPr>
        <w:t xml:space="preserve"> disponible en el perfil del contractant, completat adequadament)</w:t>
      </w:r>
      <w:r w:rsidRPr="00DB4AF2">
        <w:rPr>
          <w:rFonts w:ascii="Arial" w:hAnsi="Arial" w:cs="Arial"/>
          <w:u w:val="single"/>
          <w:lang w:val="ca-ES"/>
        </w:rPr>
        <w:t>]</w:t>
      </w:r>
    </w:p>
    <w:p w14:paraId="48235B1F" w14:textId="77777777" w:rsidR="00346253" w:rsidRPr="00E84137" w:rsidRDefault="00346253" w:rsidP="00346253">
      <w:pPr>
        <w:spacing w:after="160" w:line="276" w:lineRule="auto"/>
        <w:jc w:val="both"/>
        <w:rPr>
          <w:rFonts w:ascii="Arial" w:hAnsi="Arial" w:cs="Arial"/>
          <w:b/>
          <w:bCs/>
          <w:u w:val="single"/>
          <w:lang w:val="ca-ES"/>
        </w:rPr>
      </w:pPr>
      <w:r>
        <w:rPr>
          <w:rFonts w:ascii="Arial" w:hAnsi="Arial" w:cs="Arial"/>
          <w:b/>
          <w:bCs/>
          <w:lang w:val="ca-ES"/>
        </w:rPr>
        <w:t>Preu total anual</w:t>
      </w:r>
      <w:r w:rsidRPr="00F15969">
        <w:rPr>
          <w:rFonts w:ascii="Arial" w:hAnsi="Arial" w:cs="Arial"/>
          <w:lang w:val="ca-ES"/>
        </w:rPr>
        <w:t>...</w:t>
      </w:r>
      <w:r>
        <w:rPr>
          <w:rFonts w:ascii="Arial" w:hAnsi="Arial" w:cs="Arial"/>
          <w:lang w:val="ca-ES"/>
        </w:rPr>
        <w:t>...</w:t>
      </w:r>
      <w:r w:rsidRPr="00E84137">
        <w:rPr>
          <w:rFonts w:ascii="Arial" w:hAnsi="Arial" w:cs="Arial"/>
          <w:szCs w:val="22"/>
          <w:lang w:val="ca-ES"/>
        </w:rPr>
        <w:t>…</w:t>
      </w:r>
      <w:r>
        <w:rPr>
          <w:rFonts w:ascii="Arial" w:hAnsi="Arial" w:cs="Arial"/>
          <w:szCs w:val="22"/>
          <w:lang w:val="ca-ES"/>
        </w:rPr>
        <w:t>...................................................</w:t>
      </w:r>
      <w:r w:rsidRPr="00E84137">
        <w:rPr>
          <w:rFonts w:ascii="Arial" w:hAnsi="Arial" w:cs="Arial"/>
          <w:szCs w:val="22"/>
          <w:lang w:val="ca-ES"/>
        </w:rPr>
        <w:t>………...........…..€ (IVA ex</w:t>
      </w:r>
      <w:r>
        <w:rPr>
          <w:rFonts w:ascii="Arial" w:hAnsi="Arial" w:cs="Arial"/>
          <w:szCs w:val="22"/>
          <w:lang w:val="ca-ES"/>
        </w:rPr>
        <w:t>clòs</w:t>
      </w:r>
      <w:r w:rsidRPr="00E84137">
        <w:rPr>
          <w:rFonts w:ascii="Arial" w:hAnsi="Arial" w:cs="Arial"/>
          <w:szCs w:val="22"/>
          <w:lang w:val="ca-ES"/>
        </w:rPr>
        <w:t>)</w:t>
      </w:r>
    </w:p>
    <w:p w14:paraId="0F6B9047" w14:textId="77777777" w:rsidR="00346253" w:rsidRPr="00E84137" w:rsidRDefault="00346253" w:rsidP="00346253">
      <w:pPr>
        <w:spacing w:after="160" w:line="276" w:lineRule="auto"/>
        <w:jc w:val="both"/>
        <w:rPr>
          <w:rFonts w:ascii="Arial" w:hAnsi="Arial" w:cs="Arial"/>
          <w:sz w:val="18"/>
          <w:szCs w:val="18"/>
          <w:lang w:val="ca-ES"/>
        </w:rPr>
      </w:pPr>
      <w:r w:rsidRPr="00E84137">
        <w:rPr>
          <w:rFonts w:ascii="Arial" w:hAnsi="Arial" w:cs="Arial"/>
          <w:szCs w:val="22"/>
          <w:lang w:val="ca-ES"/>
        </w:rPr>
        <w:tab/>
      </w:r>
      <w:r w:rsidRPr="00E84137">
        <w:rPr>
          <w:rFonts w:ascii="Arial" w:hAnsi="Arial" w:cs="Arial"/>
          <w:sz w:val="18"/>
          <w:szCs w:val="18"/>
          <w:lang w:val="ca-ES"/>
        </w:rPr>
        <w:t>(</w:t>
      </w:r>
      <w:r w:rsidRPr="00E84137">
        <w:rPr>
          <w:rFonts w:ascii="Arial" w:hAnsi="Arial" w:cs="Arial"/>
          <w:b/>
          <w:bCs/>
          <w:sz w:val="18"/>
          <w:szCs w:val="18"/>
          <w:lang w:val="ca-ES"/>
        </w:rPr>
        <w:t>Límit màxim</w:t>
      </w:r>
      <w:r w:rsidRPr="00E84137">
        <w:rPr>
          <w:rFonts w:ascii="Arial" w:hAnsi="Arial" w:cs="Arial"/>
          <w:sz w:val="18"/>
          <w:szCs w:val="18"/>
          <w:lang w:val="ca-ES"/>
        </w:rPr>
        <w:t xml:space="preserve"> de </w:t>
      </w:r>
      <w:r w:rsidRPr="009100B5">
        <w:rPr>
          <w:rFonts w:ascii="Arial" w:hAnsi="Arial" w:cs="Arial"/>
          <w:sz w:val="18"/>
          <w:szCs w:val="18"/>
          <w:u w:val="single"/>
          <w:lang w:val="ca-ES"/>
        </w:rPr>
        <w:t>77.334,26 €,</w:t>
      </w:r>
      <w:r>
        <w:rPr>
          <w:rFonts w:ascii="Arial" w:hAnsi="Arial" w:cs="Arial"/>
          <w:sz w:val="18"/>
          <w:szCs w:val="18"/>
          <w:u w:val="single"/>
          <w:lang w:val="ca-ES"/>
        </w:rPr>
        <w:t xml:space="preserve"> IVA exclòs</w:t>
      </w:r>
      <w:r w:rsidRPr="00E84137">
        <w:rPr>
          <w:rFonts w:ascii="Arial" w:hAnsi="Arial" w:cs="Arial"/>
          <w:sz w:val="18"/>
          <w:szCs w:val="18"/>
          <w:lang w:val="ca-ES"/>
        </w:rPr>
        <w:t>)</w:t>
      </w:r>
    </w:p>
    <w:p w14:paraId="2C8AB4D5" w14:textId="77777777" w:rsidR="00346253" w:rsidRPr="00E84137" w:rsidRDefault="00346253" w:rsidP="00346253">
      <w:pPr>
        <w:spacing w:after="160" w:line="276" w:lineRule="auto"/>
        <w:jc w:val="both"/>
        <w:rPr>
          <w:rFonts w:ascii="Arial" w:hAnsi="Arial" w:cs="Arial"/>
          <w:szCs w:val="22"/>
          <w:lang w:val="ca-ES"/>
        </w:rPr>
      </w:pPr>
      <w:r w:rsidRPr="00E84137">
        <w:rPr>
          <w:rFonts w:ascii="Arial" w:hAnsi="Arial" w:cs="Arial"/>
          <w:szCs w:val="22"/>
          <w:lang w:val="ca-ES"/>
        </w:rPr>
        <w:t>(</w:t>
      </w:r>
      <w:r w:rsidRPr="00E84137">
        <w:rPr>
          <w:rFonts w:ascii="Arial" w:hAnsi="Arial" w:cs="Arial"/>
          <w:i/>
          <w:iCs/>
          <w:szCs w:val="22"/>
          <w:u w:val="single"/>
          <w:lang w:val="ca-ES"/>
        </w:rPr>
        <w:t>Lloc, data i signatura del licitador</w:t>
      </w:r>
      <w:r w:rsidRPr="00E84137">
        <w:rPr>
          <w:rFonts w:ascii="Arial" w:hAnsi="Arial" w:cs="Arial"/>
          <w:szCs w:val="22"/>
          <w:lang w:val="ca-ES"/>
        </w:rPr>
        <w:t>)</w:t>
      </w:r>
    </w:p>
    <w:p w14:paraId="60481C54" w14:textId="77777777" w:rsidR="00346253" w:rsidRPr="00F15969" w:rsidRDefault="00346253" w:rsidP="00346253">
      <w:pPr>
        <w:spacing w:after="160" w:line="276" w:lineRule="auto"/>
        <w:ind w:left="709"/>
        <w:jc w:val="both"/>
        <w:rPr>
          <w:rFonts w:ascii="Arial" w:hAnsi="Arial" w:cs="Arial"/>
          <w:b/>
          <w:i/>
          <w:iCs/>
          <w:sz w:val="18"/>
          <w:szCs w:val="18"/>
          <w:lang w:val="ca-ES"/>
        </w:rPr>
      </w:pPr>
      <w:r w:rsidRPr="00F15969">
        <w:rPr>
          <w:rFonts w:ascii="Arial" w:hAnsi="Arial" w:cs="Arial"/>
          <w:b/>
          <w:i/>
          <w:iCs/>
          <w:sz w:val="18"/>
          <w:szCs w:val="18"/>
          <w:lang w:val="ca-ES"/>
        </w:rPr>
        <w:t xml:space="preserve">(la manca de presentació de l'oferta econòmica de conformitat amb les prescripcions establertes comportarà l'exclusió del procediment de licitació de conformitat amb el que disposa l'art. 84 del Reglament General de la Llei de Contractes de les Administracions Públiques) </w:t>
      </w:r>
    </w:p>
    <w:p w14:paraId="4973B142" w14:textId="77777777" w:rsidR="00346253" w:rsidRPr="00F15969" w:rsidRDefault="00346253" w:rsidP="00346253">
      <w:pPr>
        <w:spacing w:after="160" w:line="276" w:lineRule="auto"/>
        <w:ind w:left="709"/>
        <w:jc w:val="both"/>
        <w:rPr>
          <w:rFonts w:ascii="Arial" w:hAnsi="Arial" w:cs="Arial"/>
          <w:b/>
          <w:i/>
          <w:iCs/>
          <w:sz w:val="18"/>
          <w:szCs w:val="18"/>
          <w:lang w:val="ca-ES"/>
        </w:rPr>
      </w:pPr>
      <w:r w:rsidRPr="00F15969">
        <w:rPr>
          <w:rFonts w:ascii="Arial" w:hAnsi="Arial" w:cs="Arial"/>
          <w:bCs/>
          <w:i/>
          <w:iCs/>
          <w:sz w:val="18"/>
          <w:szCs w:val="18"/>
          <w:lang w:val="ca-ES"/>
        </w:rPr>
        <w:t xml:space="preserve">L'import s'haurà d'expressar amb un màxim de dos decimals. En tot cas haurà de respectar els límits màxim pel preu unitari  </w:t>
      </w:r>
      <w:proofErr w:type="spellStart"/>
      <w:r w:rsidRPr="00F15969">
        <w:rPr>
          <w:rFonts w:ascii="Arial" w:hAnsi="Arial" w:cs="Arial"/>
          <w:bCs/>
          <w:i/>
          <w:iCs/>
          <w:sz w:val="18"/>
          <w:szCs w:val="18"/>
          <w:lang w:val="ca-ES"/>
        </w:rPr>
        <w:t>ofertat</w:t>
      </w:r>
      <w:proofErr w:type="spellEnd"/>
      <w:r w:rsidRPr="00F15969">
        <w:rPr>
          <w:rFonts w:ascii="Arial" w:hAnsi="Arial" w:cs="Arial"/>
          <w:bCs/>
          <w:i/>
          <w:iCs/>
          <w:sz w:val="18"/>
          <w:szCs w:val="18"/>
          <w:lang w:val="ca-ES"/>
        </w:rPr>
        <w:t>.</w:t>
      </w:r>
      <w:r w:rsidRPr="00F15969">
        <w:rPr>
          <w:rFonts w:ascii="Arial" w:hAnsi="Arial" w:cs="Arial"/>
          <w:b/>
          <w:i/>
          <w:iCs/>
          <w:sz w:val="18"/>
          <w:szCs w:val="18"/>
          <w:lang w:val="ca-ES"/>
        </w:rPr>
        <w:t xml:space="preserve"> Si es supera algun/s preu/s unitaris màxims establerts per l’Administració en l’Annex  II, així com el valor total anual, restaran excloses automàticament les proposicions presentades.</w:t>
      </w:r>
    </w:p>
    <w:p w14:paraId="76641CA5" w14:textId="77777777" w:rsidR="00346253" w:rsidRPr="00F15969" w:rsidRDefault="00346253" w:rsidP="00346253">
      <w:pPr>
        <w:spacing w:after="160" w:line="276" w:lineRule="auto"/>
        <w:ind w:left="709"/>
        <w:jc w:val="both"/>
        <w:rPr>
          <w:rFonts w:ascii="Arial" w:hAnsi="Arial" w:cs="Arial"/>
          <w:b/>
          <w:i/>
          <w:iCs/>
          <w:sz w:val="18"/>
          <w:szCs w:val="18"/>
          <w:lang w:val="ca-ES"/>
        </w:rPr>
      </w:pPr>
      <w:r w:rsidRPr="00F15969">
        <w:rPr>
          <w:rFonts w:ascii="Arial" w:hAnsi="Arial" w:cs="Arial"/>
          <w:i/>
          <w:iCs/>
          <w:sz w:val="18"/>
          <w:szCs w:val="18"/>
          <w:lang w:val="ca-ES"/>
        </w:rPr>
        <w:t xml:space="preserve">Per presentar la oferta econòmica les empreses hauran de complimentar la columna dels preus unitaris de la taula de l’Annex IV en la fulla protegida d’Excel disponible en el perfil del contractant, </w:t>
      </w:r>
      <w:r w:rsidRPr="00F15969">
        <w:rPr>
          <w:rFonts w:ascii="Arial" w:hAnsi="Arial" w:cs="Arial"/>
          <w:b/>
          <w:bCs/>
          <w:i/>
          <w:iCs/>
          <w:sz w:val="18"/>
          <w:szCs w:val="18"/>
          <w:lang w:val="ca-ES"/>
        </w:rPr>
        <w:t>sense que aquests puguin ser superiors als indicats per l’Administració</w:t>
      </w:r>
      <w:r w:rsidRPr="00F15969">
        <w:rPr>
          <w:rFonts w:ascii="Arial" w:hAnsi="Arial" w:cs="Arial"/>
          <w:i/>
          <w:iCs/>
          <w:sz w:val="18"/>
          <w:szCs w:val="18"/>
          <w:lang w:val="ca-ES"/>
        </w:rPr>
        <w:t xml:space="preserve">. </w:t>
      </w:r>
      <w:r w:rsidRPr="00F15969">
        <w:rPr>
          <w:rFonts w:ascii="Arial" w:hAnsi="Arial" w:cs="Arial"/>
          <w:b/>
          <w:i/>
          <w:iCs/>
          <w:sz w:val="18"/>
          <w:szCs w:val="18"/>
          <w:lang w:val="ca-ES"/>
        </w:rPr>
        <w:t>Tampoc es valorarà cap oferta que no inclogui la totalitat dels productes de l’Annex I.</w:t>
      </w:r>
    </w:p>
    <w:p w14:paraId="79ABE6D1" w14:textId="77777777" w:rsidR="00346253" w:rsidRPr="00F15969" w:rsidRDefault="00346253" w:rsidP="00346253">
      <w:pPr>
        <w:spacing w:after="160" w:line="276" w:lineRule="auto"/>
        <w:ind w:left="709"/>
        <w:jc w:val="both"/>
        <w:rPr>
          <w:rFonts w:ascii="Arial" w:hAnsi="Arial" w:cs="Arial"/>
          <w:b/>
          <w:i/>
          <w:iCs/>
          <w:sz w:val="18"/>
          <w:szCs w:val="18"/>
          <w:u w:val="single"/>
          <w:lang w:val="ca-ES"/>
        </w:rPr>
      </w:pPr>
      <w:r w:rsidRPr="00F15969">
        <w:rPr>
          <w:rFonts w:ascii="Arial" w:hAnsi="Arial" w:cs="Arial"/>
          <w:b/>
          <w:i/>
          <w:iCs/>
          <w:sz w:val="18"/>
          <w:szCs w:val="18"/>
          <w:u w:val="single"/>
          <w:lang w:val="ca-ES"/>
        </w:rPr>
        <w:t xml:space="preserve">Si els valors del present Annex i els valors de l’Annex IV (el model full </w:t>
      </w:r>
      <w:proofErr w:type="spellStart"/>
      <w:r w:rsidRPr="00F15969">
        <w:rPr>
          <w:rFonts w:ascii="Arial" w:hAnsi="Arial" w:cs="Arial"/>
          <w:b/>
          <w:i/>
          <w:iCs/>
          <w:sz w:val="18"/>
          <w:szCs w:val="18"/>
          <w:u w:val="single"/>
          <w:lang w:val="ca-ES"/>
        </w:rPr>
        <w:t>d’excel</w:t>
      </w:r>
      <w:proofErr w:type="spellEnd"/>
      <w:r w:rsidRPr="00F15969">
        <w:rPr>
          <w:rFonts w:ascii="Arial" w:hAnsi="Arial" w:cs="Arial"/>
          <w:b/>
          <w:i/>
          <w:iCs/>
          <w:sz w:val="18"/>
          <w:szCs w:val="18"/>
          <w:u w:val="single"/>
          <w:lang w:val="ca-ES"/>
        </w:rPr>
        <w:t>) no coincideixen, prevaldran dels de l’Annex IV. Si no es presenta l’Annex IV en el sobre 3, a part del present Annex, l’empresa licitadora quedarà automàticament exclosa.</w:t>
      </w:r>
    </w:p>
    <w:p w14:paraId="15CA4A05" w14:textId="77777777" w:rsidR="00346253" w:rsidRDefault="00346253" w:rsidP="00346253">
      <w:pPr>
        <w:spacing w:after="160"/>
        <w:jc w:val="both"/>
        <w:rPr>
          <w:rFonts w:ascii="Arial" w:hAnsi="Arial" w:cs="Arial"/>
          <w:u w:val="single"/>
          <w:lang w:val="ca-ES"/>
        </w:rPr>
      </w:pPr>
    </w:p>
    <w:p w14:paraId="0C865406" w14:textId="77777777" w:rsidR="00346253" w:rsidRPr="00DB4AF2" w:rsidRDefault="00346253" w:rsidP="00346253">
      <w:pPr>
        <w:spacing w:after="160"/>
        <w:jc w:val="both"/>
        <w:rPr>
          <w:rFonts w:ascii="Arial" w:hAnsi="Arial" w:cs="Arial"/>
          <w:u w:val="single"/>
          <w:lang w:val="ca-ES"/>
        </w:rPr>
      </w:pPr>
      <w:r w:rsidRPr="00DB4AF2">
        <w:rPr>
          <w:rFonts w:ascii="Arial" w:hAnsi="Arial" w:cs="Arial"/>
          <w:u w:val="single"/>
          <w:lang w:val="ca-ES"/>
        </w:rPr>
        <w:t>MILLORES</w:t>
      </w:r>
    </w:p>
    <w:p w14:paraId="1852121F" w14:textId="77777777" w:rsidR="00346253" w:rsidRPr="00916C1E" w:rsidRDefault="00346253" w:rsidP="00346253">
      <w:pPr>
        <w:pStyle w:val="Pargrafdellista"/>
        <w:widowControl/>
        <w:numPr>
          <w:ilvl w:val="0"/>
          <w:numId w:val="7"/>
        </w:numPr>
        <w:suppressAutoHyphens w:val="0"/>
        <w:autoSpaceDE w:val="0"/>
        <w:autoSpaceDN w:val="0"/>
        <w:adjustRightInd w:val="0"/>
        <w:spacing w:line="276" w:lineRule="auto"/>
        <w:rPr>
          <w:rFonts w:ascii="Liberation Sans" w:eastAsia="Times New Roman" w:hAnsi="Liberation Sans" w:cs="Liberation Sans"/>
          <w:color w:val="000000"/>
          <w:sz w:val="24"/>
          <w:lang w:val="ca-ES"/>
        </w:rPr>
      </w:pPr>
      <w:r>
        <w:rPr>
          <w:rFonts w:ascii="Liberation Sans" w:eastAsia="Times New Roman" w:hAnsi="Liberation Sans" w:cs="Liberation Sans"/>
          <w:color w:val="1E1E1E"/>
          <w:lang w:val="ca-ES"/>
        </w:rPr>
        <w:t xml:space="preserve">Del temps de lliurament </w:t>
      </w:r>
      <w:r w:rsidRPr="00C54F44">
        <w:rPr>
          <w:rFonts w:ascii="Arial" w:hAnsi="Arial" w:cs="Arial"/>
          <w:lang w:val="ca-ES"/>
        </w:rPr>
        <w:t>(indicar amb una “X”)</w:t>
      </w:r>
      <w:r>
        <w:rPr>
          <w:rFonts w:ascii="Liberation Sans" w:eastAsia="Times New Roman" w:hAnsi="Liberation Sans" w:cs="Liberation Sans"/>
          <w:color w:val="1E1E1E"/>
          <w:lang w:val="ca-ES"/>
        </w:rPr>
        <w:t>:</w:t>
      </w:r>
    </w:p>
    <w:tbl>
      <w:tblPr>
        <w:tblW w:w="5120" w:type="dxa"/>
        <w:jc w:val="center"/>
        <w:tblCellMar>
          <w:left w:w="70" w:type="dxa"/>
          <w:right w:w="70" w:type="dxa"/>
        </w:tblCellMar>
        <w:tblLook w:val="04A0" w:firstRow="1" w:lastRow="0" w:firstColumn="1" w:lastColumn="0" w:noHBand="0" w:noVBand="1"/>
      </w:tblPr>
      <w:tblGrid>
        <w:gridCol w:w="320"/>
        <w:gridCol w:w="4800"/>
      </w:tblGrid>
      <w:tr w:rsidR="00346253" w:rsidRPr="00C54F44" w14:paraId="4C82D0A8"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1F8DDB9F"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lastRenderedPageBreak/>
              <w:t> </w:t>
            </w:r>
          </w:p>
        </w:tc>
        <w:tc>
          <w:tcPr>
            <w:tcW w:w="4800" w:type="dxa"/>
            <w:tcBorders>
              <w:top w:val="nil"/>
              <w:left w:val="nil"/>
              <w:bottom w:val="nil"/>
              <w:right w:val="nil"/>
            </w:tcBorders>
            <w:noWrap/>
            <w:vAlign w:val="bottom"/>
            <w:hideMark/>
          </w:tcPr>
          <w:p w14:paraId="202F2A9F"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En 5 dies (sense millora)</w:t>
            </w:r>
          </w:p>
        </w:tc>
      </w:tr>
      <w:tr w:rsidR="00346253" w:rsidRPr="00C54F44" w14:paraId="71D489F1" w14:textId="77777777" w:rsidTr="00956479">
        <w:trPr>
          <w:trHeight w:val="315"/>
          <w:jc w:val="center"/>
        </w:trPr>
        <w:tc>
          <w:tcPr>
            <w:tcW w:w="5120" w:type="dxa"/>
            <w:gridSpan w:val="2"/>
            <w:tcBorders>
              <w:top w:val="nil"/>
              <w:left w:val="nil"/>
              <w:bottom w:val="nil"/>
              <w:right w:val="nil"/>
            </w:tcBorders>
            <w:noWrap/>
            <w:vAlign w:val="bottom"/>
            <w:hideMark/>
          </w:tcPr>
          <w:p w14:paraId="518B8E07"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r>
      <w:tr w:rsidR="00346253" w:rsidRPr="00C54F44" w14:paraId="023DCE18"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01BCD5DF"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tcBorders>
              <w:top w:val="nil"/>
              <w:left w:val="nil"/>
              <w:bottom w:val="nil"/>
              <w:right w:val="nil"/>
            </w:tcBorders>
            <w:noWrap/>
            <w:vAlign w:val="bottom"/>
            <w:hideMark/>
          </w:tcPr>
          <w:p w14:paraId="44656E1B"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En 4 dies</w:t>
            </w:r>
          </w:p>
        </w:tc>
      </w:tr>
      <w:tr w:rsidR="00346253" w:rsidRPr="00C54F44" w14:paraId="6E132A4C" w14:textId="77777777" w:rsidTr="00956479">
        <w:trPr>
          <w:trHeight w:val="315"/>
          <w:jc w:val="center"/>
        </w:trPr>
        <w:tc>
          <w:tcPr>
            <w:tcW w:w="5120" w:type="dxa"/>
            <w:gridSpan w:val="2"/>
            <w:tcBorders>
              <w:top w:val="nil"/>
              <w:left w:val="nil"/>
              <w:bottom w:val="nil"/>
              <w:right w:val="nil"/>
            </w:tcBorders>
            <w:noWrap/>
            <w:vAlign w:val="bottom"/>
            <w:hideMark/>
          </w:tcPr>
          <w:p w14:paraId="18180F64"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r>
      <w:tr w:rsidR="00346253" w:rsidRPr="00C54F44" w14:paraId="4FCB0A47"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704A9493"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tcBorders>
              <w:top w:val="nil"/>
              <w:left w:val="nil"/>
              <w:bottom w:val="nil"/>
              <w:right w:val="nil"/>
            </w:tcBorders>
            <w:noWrap/>
            <w:vAlign w:val="bottom"/>
            <w:hideMark/>
          </w:tcPr>
          <w:p w14:paraId="7832CC0D"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En 3 dies</w:t>
            </w:r>
          </w:p>
        </w:tc>
      </w:tr>
      <w:tr w:rsidR="00346253" w:rsidRPr="00C54F44" w14:paraId="7510789A" w14:textId="77777777" w:rsidTr="00956479">
        <w:trPr>
          <w:trHeight w:val="315"/>
          <w:jc w:val="center"/>
        </w:trPr>
        <w:tc>
          <w:tcPr>
            <w:tcW w:w="5120" w:type="dxa"/>
            <w:gridSpan w:val="2"/>
            <w:tcBorders>
              <w:top w:val="nil"/>
              <w:left w:val="nil"/>
              <w:bottom w:val="nil"/>
              <w:right w:val="nil"/>
            </w:tcBorders>
            <w:noWrap/>
            <w:vAlign w:val="bottom"/>
            <w:hideMark/>
          </w:tcPr>
          <w:p w14:paraId="3B5633DD"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r>
      <w:tr w:rsidR="00346253" w:rsidRPr="00C54F44" w14:paraId="2B445575"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13EFAB8D"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tcBorders>
              <w:top w:val="nil"/>
              <w:left w:val="nil"/>
              <w:bottom w:val="nil"/>
              <w:right w:val="nil"/>
            </w:tcBorders>
            <w:noWrap/>
            <w:vAlign w:val="bottom"/>
            <w:hideMark/>
          </w:tcPr>
          <w:p w14:paraId="6C950095"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En 2 dies</w:t>
            </w:r>
          </w:p>
        </w:tc>
      </w:tr>
      <w:tr w:rsidR="00346253" w:rsidRPr="00C54F44" w14:paraId="4B4E78B7" w14:textId="77777777" w:rsidTr="00956479">
        <w:trPr>
          <w:trHeight w:val="315"/>
          <w:jc w:val="center"/>
        </w:trPr>
        <w:tc>
          <w:tcPr>
            <w:tcW w:w="5120" w:type="dxa"/>
            <w:gridSpan w:val="2"/>
            <w:tcBorders>
              <w:top w:val="nil"/>
              <w:left w:val="nil"/>
              <w:bottom w:val="nil"/>
              <w:right w:val="nil"/>
            </w:tcBorders>
            <w:noWrap/>
            <w:vAlign w:val="bottom"/>
            <w:hideMark/>
          </w:tcPr>
          <w:p w14:paraId="778F30C2"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r>
      <w:tr w:rsidR="00346253" w:rsidRPr="00C54F44" w14:paraId="281EE1D0"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1C79D03C"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tcBorders>
              <w:top w:val="nil"/>
              <w:left w:val="nil"/>
              <w:bottom w:val="nil"/>
              <w:right w:val="nil"/>
            </w:tcBorders>
            <w:noWrap/>
            <w:vAlign w:val="bottom"/>
            <w:hideMark/>
          </w:tcPr>
          <w:p w14:paraId="083659C7"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Al dia següent</w:t>
            </w:r>
          </w:p>
        </w:tc>
      </w:tr>
    </w:tbl>
    <w:p w14:paraId="43C9BD15" w14:textId="77777777" w:rsidR="00346253" w:rsidRPr="008E5962" w:rsidRDefault="00346253" w:rsidP="00346253">
      <w:pPr>
        <w:spacing w:after="160" w:line="276" w:lineRule="auto"/>
        <w:jc w:val="both"/>
        <w:rPr>
          <w:rFonts w:ascii="Arial" w:hAnsi="Arial" w:cs="Arial"/>
          <w:szCs w:val="22"/>
          <w:lang w:val="ca-ES"/>
        </w:rPr>
      </w:pPr>
    </w:p>
    <w:p w14:paraId="2D67A446" w14:textId="77777777" w:rsidR="00346253" w:rsidRPr="00DB4AF2" w:rsidRDefault="00346253" w:rsidP="00346253">
      <w:pPr>
        <w:pStyle w:val="Pargrafdellista"/>
        <w:widowControl/>
        <w:numPr>
          <w:ilvl w:val="0"/>
          <w:numId w:val="8"/>
        </w:numPr>
        <w:suppressAutoHyphens w:val="0"/>
        <w:spacing w:after="120" w:line="276" w:lineRule="auto"/>
        <w:jc w:val="both"/>
        <w:rPr>
          <w:rFonts w:ascii="Arial" w:hAnsi="Arial" w:cs="Arial"/>
          <w:lang w:val="ca-ES"/>
        </w:rPr>
      </w:pPr>
      <w:r>
        <w:rPr>
          <w:rFonts w:ascii="Arial" w:hAnsi="Arial" w:cs="Arial"/>
          <w:lang w:val="ca-ES"/>
        </w:rPr>
        <w:t>P</w:t>
      </w:r>
      <w:r w:rsidRPr="00DB4AF2">
        <w:rPr>
          <w:rFonts w:ascii="Arial" w:hAnsi="Arial" w:cs="Arial"/>
          <w:lang w:val="ca-ES"/>
        </w:rPr>
        <w:t>la de formació i higiene (indicar amb una “X”)</w:t>
      </w:r>
    </w:p>
    <w:tbl>
      <w:tblPr>
        <w:tblW w:w="5120" w:type="dxa"/>
        <w:jc w:val="center"/>
        <w:tblCellMar>
          <w:left w:w="70" w:type="dxa"/>
          <w:right w:w="70" w:type="dxa"/>
        </w:tblCellMar>
        <w:tblLook w:val="04A0" w:firstRow="1" w:lastRow="0" w:firstColumn="1" w:lastColumn="0" w:noHBand="0" w:noVBand="1"/>
      </w:tblPr>
      <w:tblGrid>
        <w:gridCol w:w="320"/>
        <w:gridCol w:w="1200"/>
        <w:gridCol w:w="1200"/>
        <w:gridCol w:w="1200"/>
        <w:gridCol w:w="1200"/>
      </w:tblGrid>
      <w:tr w:rsidR="00346253" w:rsidRPr="00C54F44" w14:paraId="7707BAA9"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7C15DC81"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6DB94137"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Sí</w:t>
            </w:r>
          </w:p>
        </w:tc>
      </w:tr>
      <w:tr w:rsidR="00346253" w:rsidRPr="00C54F44" w14:paraId="2A3E4748" w14:textId="77777777" w:rsidTr="00956479">
        <w:trPr>
          <w:trHeight w:val="315"/>
          <w:jc w:val="center"/>
        </w:trPr>
        <w:tc>
          <w:tcPr>
            <w:tcW w:w="320" w:type="dxa"/>
            <w:tcBorders>
              <w:top w:val="nil"/>
              <w:left w:val="nil"/>
              <w:bottom w:val="nil"/>
              <w:right w:val="nil"/>
            </w:tcBorders>
            <w:noWrap/>
            <w:vAlign w:val="bottom"/>
            <w:hideMark/>
          </w:tcPr>
          <w:p w14:paraId="7E90E3F2"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c>
          <w:tcPr>
            <w:tcW w:w="1200" w:type="dxa"/>
            <w:tcBorders>
              <w:top w:val="nil"/>
              <w:left w:val="nil"/>
              <w:bottom w:val="nil"/>
              <w:right w:val="nil"/>
            </w:tcBorders>
            <w:noWrap/>
            <w:vAlign w:val="bottom"/>
            <w:hideMark/>
          </w:tcPr>
          <w:p w14:paraId="1785B32D"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7F378D5A"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1136A4E4"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78608795"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r>
      <w:tr w:rsidR="00346253" w:rsidRPr="00C54F44" w14:paraId="2CCAC2F5"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32415B37"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10552074"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No (sense millora)</w:t>
            </w:r>
          </w:p>
        </w:tc>
      </w:tr>
    </w:tbl>
    <w:p w14:paraId="79A5E90C" w14:textId="77777777" w:rsidR="00346253" w:rsidRPr="00C54F44" w:rsidRDefault="00346253" w:rsidP="00346253">
      <w:pPr>
        <w:spacing w:after="120" w:line="276" w:lineRule="auto"/>
        <w:jc w:val="both"/>
        <w:rPr>
          <w:rFonts w:ascii="Arial" w:hAnsi="Arial" w:cs="Arial"/>
          <w:szCs w:val="22"/>
          <w:lang w:val="ca-ES"/>
        </w:rPr>
      </w:pPr>
    </w:p>
    <w:p w14:paraId="6CEA6C77" w14:textId="77777777" w:rsidR="00346253" w:rsidRPr="00175A17" w:rsidRDefault="00346253" w:rsidP="00346253">
      <w:pPr>
        <w:pStyle w:val="Pargrafdellista"/>
        <w:widowControl/>
        <w:numPr>
          <w:ilvl w:val="0"/>
          <w:numId w:val="8"/>
        </w:numPr>
        <w:suppressAutoHyphens w:val="0"/>
        <w:spacing w:after="120" w:line="276" w:lineRule="auto"/>
        <w:jc w:val="both"/>
        <w:rPr>
          <w:rFonts w:ascii="Arial" w:hAnsi="Arial" w:cs="Arial"/>
          <w:lang w:val="ca-ES"/>
        </w:rPr>
      </w:pPr>
      <w:r>
        <w:rPr>
          <w:rFonts w:ascii="Arial" w:hAnsi="Arial" w:cs="Arial"/>
          <w:lang w:val="ca-ES"/>
        </w:rPr>
        <w:t>I</w:t>
      </w:r>
      <w:r w:rsidRPr="00DB4AF2">
        <w:rPr>
          <w:rFonts w:ascii="Arial" w:hAnsi="Arial" w:cs="Arial"/>
          <w:lang w:val="ca-ES"/>
        </w:rPr>
        <w:t>nstal·lació de dispensadors de paper o de sabó (indicar amb una “X”)</w:t>
      </w:r>
    </w:p>
    <w:tbl>
      <w:tblPr>
        <w:tblW w:w="5120" w:type="dxa"/>
        <w:jc w:val="center"/>
        <w:tblCellMar>
          <w:left w:w="70" w:type="dxa"/>
          <w:right w:w="70" w:type="dxa"/>
        </w:tblCellMar>
        <w:tblLook w:val="04A0" w:firstRow="1" w:lastRow="0" w:firstColumn="1" w:lastColumn="0" w:noHBand="0" w:noVBand="1"/>
      </w:tblPr>
      <w:tblGrid>
        <w:gridCol w:w="320"/>
        <w:gridCol w:w="1200"/>
        <w:gridCol w:w="1200"/>
        <w:gridCol w:w="1200"/>
        <w:gridCol w:w="1200"/>
      </w:tblGrid>
      <w:tr w:rsidR="00346253" w:rsidRPr="00C54F44" w14:paraId="072DEF77"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784FFBDA"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2F7DC651"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0 (sense millora)</w:t>
            </w:r>
          </w:p>
        </w:tc>
      </w:tr>
      <w:tr w:rsidR="00346253" w:rsidRPr="00C54F44" w14:paraId="05544A8A" w14:textId="77777777" w:rsidTr="00956479">
        <w:trPr>
          <w:trHeight w:val="315"/>
          <w:jc w:val="center"/>
        </w:trPr>
        <w:tc>
          <w:tcPr>
            <w:tcW w:w="320" w:type="dxa"/>
            <w:tcBorders>
              <w:top w:val="nil"/>
              <w:left w:val="nil"/>
              <w:bottom w:val="nil"/>
              <w:right w:val="nil"/>
            </w:tcBorders>
            <w:noWrap/>
            <w:vAlign w:val="bottom"/>
            <w:hideMark/>
          </w:tcPr>
          <w:p w14:paraId="08485A23"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c>
          <w:tcPr>
            <w:tcW w:w="1200" w:type="dxa"/>
            <w:tcBorders>
              <w:top w:val="nil"/>
              <w:left w:val="nil"/>
              <w:bottom w:val="nil"/>
              <w:right w:val="nil"/>
            </w:tcBorders>
            <w:noWrap/>
            <w:vAlign w:val="bottom"/>
            <w:hideMark/>
          </w:tcPr>
          <w:p w14:paraId="5AB6A324"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2B9D7F49"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5428D9E0"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3E3B55B8"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r>
      <w:tr w:rsidR="00346253" w:rsidRPr="00C54F44" w14:paraId="7E3B4F80"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0DBC49AE"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0B635EDF"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10</w:t>
            </w:r>
          </w:p>
        </w:tc>
      </w:tr>
      <w:tr w:rsidR="00346253" w:rsidRPr="00C54F44" w14:paraId="0BBE7688" w14:textId="77777777" w:rsidTr="00956479">
        <w:trPr>
          <w:trHeight w:val="315"/>
          <w:jc w:val="center"/>
        </w:trPr>
        <w:tc>
          <w:tcPr>
            <w:tcW w:w="320" w:type="dxa"/>
            <w:tcBorders>
              <w:top w:val="nil"/>
              <w:left w:val="nil"/>
              <w:bottom w:val="nil"/>
              <w:right w:val="nil"/>
            </w:tcBorders>
            <w:noWrap/>
            <w:vAlign w:val="bottom"/>
            <w:hideMark/>
          </w:tcPr>
          <w:p w14:paraId="4465CE12"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c>
          <w:tcPr>
            <w:tcW w:w="1200" w:type="dxa"/>
            <w:tcBorders>
              <w:top w:val="nil"/>
              <w:left w:val="nil"/>
              <w:bottom w:val="nil"/>
              <w:right w:val="nil"/>
            </w:tcBorders>
            <w:noWrap/>
            <w:vAlign w:val="bottom"/>
            <w:hideMark/>
          </w:tcPr>
          <w:p w14:paraId="109F6A06"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4EB327B8"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4A0798E2"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2080E42E"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r>
      <w:tr w:rsidR="00346253" w:rsidRPr="00C54F44" w14:paraId="081E1486"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24D5ED44"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3DFC0379"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20</w:t>
            </w:r>
          </w:p>
        </w:tc>
      </w:tr>
    </w:tbl>
    <w:p w14:paraId="05060AD0" w14:textId="77777777" w:rsidR="00346253" w:rsidRPr="00C54F44" w:rsidRDefault="00346253" w:rsidP="00346253">
      <w:pPr>
        <w:spacing w:after="120" w:line="276" w:lineRule="auto"/>
        <w:jc w:val="both"/>
        <w:rPr>
          <w:rFonts w:ascii="Arial" w:hAnsi="Arial" w:cs="Arial"/>
          <w:szCs w:val="22"/>
          <w:lang w:val="ca-ES"/>
        </w:rPr>
      </w:pPr>
    </w:p>
    <w:p w14:paraId="53D96E88" w14:textId="77777777" w:rsidR="00346253" w:rsidRPr="00175A17" w:rsidRDefault="00346253" w:rsidP="00346253">
      <w:pPr>
        <w:pStyle w:val="Pargrafdellista"/>
        <w:widowControl/>
        <w:numPr>
          <w:ilvl w:val="0"/>
          <w:numId w:val="8"/>
        </w:numPr>
        <w:suppressAutoHyphens w:val="0"/>
        <w:spacing w:after="120" w:line="276" w:lineRule="auto"/>
        <w:jc w:val="both"/>
        <w:rPr>
          <w:rFonts w:ascii="Arial" w:hAnsi="Arial" w:cs="Arial"/>
          <w:lang w:val="ca-ES"/>
        </w:rPr>
      </w:pPr>
      <w:r>
        <w:rPr>
          <w:rFonts w:ascii="Arial" w:hAnsi="Arial" w:cs="Arial"/>
          <w:lang w:val="ca-ES"/>
        </w:rPr>
        <w:t>Vehicle elèctric</w:t>
      </w:r>
      <w:r w:rsidRPr="00DB4AF2">
        <w:rPr>
          <w:rFonts w:ascii="Arial" w:hAnsi="Arial" w:cs="Arial"/>
          <w:lang w:val="ca-ES"/>
        </w:rPr>
        <w:t xml:space="preserve"> (indicar amb una “X”)</w:t>
      </w:r>
    </w:p>
    <w:tbl>
      <w:tblPr>
        <w:tblW w:w="5120" w:type="dxa"/>
        <w:jc w:val="center"/>
        <w:tblCellMar>
          <w:left w:w="70" w:type="dxa"/>
          <w:right w:w="70" w:type="dxa"/>
        </w:tblCellMar>
        <w:tblLook w:val="04A0" w:firstRow="1" w:lastRow="0" w:firstColumn="1" w:lastColumn="0" w:noHBand="0" w:noVBand="1"/>
      </w:tblPr>
      <w:tblGrid>
        <w:gridCol w:w="320"/>
        <w:gridCol w:w="1200"/>
        <w:gridCol w:w="1200"/>
        <w:gridCol w:w="1200"/>
        <w:gridCol w:w="1200"/>
      </w:tblGrid>
      <w:tr w:rsidR="00346253" w:rsidRPr="00C54F44" w14:paraId="0AD92EB7"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57722E3F"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526514BB"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Pr>
                <w:rFonts w:ascii="Arial" w:eastAsia="Times New Roman" w:hAnsi="Arial" w:cs="Arial"/>
                <w:color w:val="000000"/>
                <w:kern w:val="0"/>
                <w:szCs w:val="22"/>
                <w:lang w:val="ca-ES" w:eastAsia="es-ES"/>
              </w:rPr>
              <w:t>No</w:t>
            </w:r>
            <w:r w:rsidRPr="00C54F44">
              <w:rPr>
                <w:rFonts w:ascii="Arial" w:eastAsia="Times New Roman" w:hAnsi="Arial" w:cs="Arial"/>
                <w:color w:val="000000"/>
                <w:kern w:val="0"/>
                <w:szCs w:val="22"/>
                <w:lang w:val="ca-ES" w:eastAsia="es-ES"/>
              </w:rPr>
              <w:t xml:space="preserve"> (sense millora)</w:t>
            </w:r>
          </w:p>
        </w:tc>
      </w:tr>
      <w:tr w:rsidR="00346253" w:rsidRPr="00C54F44" w14:paraId="37CBFD22" w14:textId="77777777" w:rsidTr="00956479">
        <w:trPr>
          <w:trHeight w:val="315"/>
          <w:jc w:val="center"/>
        </w:trPr>
        <w:tc>
          <w:tcPr>
            <w:tcW w:w="320" w:type="dxa"/>
            <w:tcBorders>
              <w:top w:val="nil"/>
              <w:left w:val="nil"/>
              <w:bottom w:val="nil"/>
              <w:right w:val="nil"/>
            </w:tcBorders>
            <w:noWrap/>
            <w:vAlign w:val="bottom"/>
            <w:hideMark/>
          </w:tcPr>
          <w:p w14:paraId="48E1E1B8"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c>
          <w:tcPr>
            <w:tcW w:w="1200" w:type="dxa"/>
            <w:tcBorders>
              <w:top w:val="nil"/>
              <w:left w:val="nil"/>
              <w:bottom w:val="nil"/>
              <w:right w:val="nil"/>
            </w:tcBorders>
            <w:noWrap/>
            <w:vAlign w:val="bottom"/>
            <w:hideMark/>
          </w:tcPr>
          <w:p w14:paraId="1C9D3560"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56155C12"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0C7A0139"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3F8DA3A6"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r>
      <w:tr w:rsidR="00346253" w:rsidRPr="00C54F44" w14:paraId="4EBEF9C4"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27BAD56C"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459A626E"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Pr>
                <w:rFonts w:ascii="Arial" w:eastAsia="Times New Roman" w:hAnsi="Arial" w:cs="Arial"/>
                <w:color w:val="000000"/>
                <w:kern w:val="0"/>
                <w:szCs w:val="22"/>
                <w:lang w:val="ca-ES" w:eastAsia="es-ES"/>
              </w:rPr>
              <w:t xml:space="preserve">Híbrid </w:t>
            </w:r>
            <w:proofErr w:type="spellStart"/>
            <w:r>
              <w:rPr>
                <w:rFonts w:ascii="Arial" w:eastAsia="Times New Roman" w:hAnsi="Arial" w:cs="Arial"/>
                <w:color w:val="000000"/>
                <w:kern w:val="0"/>
                <w:szCs w:val="22"/>
                <w:lang w:val="ca-ES" w:eastAsia="es-ES"/>
              </w:rPr>
              <w:t>endollable</w:t>
            </w:r>
            <w:proofErr w:type="spellEnd"/>
            <w:r>
              <w:rPr>
                <w:rFonts w:ascii="Arial" w:eastAsia="Times New Roman" w:hAnsi="Arial" w:cs="Arial"/>
                <w:color w:val="000000"/>
                <w:kern w:val="0"/>
                <w:szCs w:val="22"/>
                <w:lang w:val="ca-ES" w:eastAsia="es-ES"/>
              </w:rPr>
              <w:t xml:space="preserve"> (PHEV)</w:t>
            </w:r>
          </w:p>
        </w:tc>
      </w:tr>
      <w:tr w:rsidR="00346253" w:rsidRPr="00C54F44" w14:paraId="6297D7CE" w14:textId="77777777" w:rsidTr="00956479">
        <w:trPr>
          <w:trHeight w:val="315"/>
          <w:jc w:val="center"/>
        </w:trPr>
        <w:tc>
          <w:tcPr>
            <w:tcW w:w="320" w:type="dxa"/>
            <w:tcBorders>
              <w:top w:val="nil"/>
              <w:left w:val="nil"/>
              <w:bottom w:val="nil"/>
              <w:right w:val="nil"/>
            </w:tcBorders>
            <w:noWrap/>
            <w:vAlign w:val="bottom"/>
            <w:hideMark/>
          </w:tcPr>
          <w:p w14:paraId="0F80ABF3"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p>
        </w:tc>
        <w:tc>
          <w:tcPr>
            <w:tcW w:w="1200" w:type="dxa"/>
            <w:tcBorders>
              <w:top w:val="nil"/>
              <w:left w:val="nil"/>
              <w:bottom w:val="nil"/>
              <w:right w:val="nil"/>
            </w:tcBorders>
            <w:noWrap/>
            <w:vAlign w:val="bottom"/>
            <w:hideMark/>
          </w:tcPr>
          <w:p w14:paraId="5651314A"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03DCBD93"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46617423"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c>
          <w:tcPr>
            <w:tcW w:w="1200" w:type="dxa"/>
            <w:tcBorders>
              <w:top w:val="nil"/>
              <w:left w:val="nil"/>
              <w:bottom w:val="nil"/>
              <w:right w:val="nil"/>
            </w:tcBorders>
            <w:noWrap/>
            <w:vAlign w:val="bottom"/>
            <w:hideMark/>
          </w:tcPr>
          <w:p w14:paraId="23B14459" w14:textId="77777777" w:rsidR="00346253" w:rsidRPr="00C54F44" w:rsidRDefault="00346253" w:rsidP="00956479">
            <w:pPr>
              <w:widowControl/>
              <w:suppressAutoHyphens w:val="0"/>
              <w:spacing w:line="276" w:lineRule="auto"/>
              <w:rPr>
                <w:rFonts w:ascii="Arial" w:eastAsia="Times New Roman" w:hAnsi="Arial" w:cs="Arial"/>
                <w:kern w:val="0"/>
                <w:sz w:val="20"/>
                <w:szCs w:val="20"/>
                <w:lang w:val="ca-ES" w:eastAsia="es-ES"/>
              </w:rPr>
            </w:pPr>
          </w:p>
        </w:tc>
      </w:tr>
      <w:tr w:rsidR="00346253" w:rsidRPr="00C54F44" w14:paraId="6D7B5F00" w14:textId="77777777" w:rsidTr="00956479">
        <w:trPr>
          <w:trHeight w:val="315"/>
          <w:jc w:val="center"/>
        </w:trPr>
        <w:tc>
          <w:tcPr>
            <w:tcW w:w="320" w:type="dxa"/>
            <w:tcBorders>
              <w:top w:val="single" w:sz="8" w:space="0" w:color="auto"/>
              <w:left w:val="single" w:sz="8" w:space="0" w:color="auto"/>
              <w:bottom w:val="single" w:sz="8" w:space="0" w:color="auto"/>
              <w:right w:val="single" w:sz="8" w:space="0" w:color="auto"/>
            </w:tcBorders>
            <w:noWrap/>
            <w:vAlign w:val="bottom"/>
            <w:hideMark/>
          </w:tcPr>
          <w:p w14:paraId="763EF2FE"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sidRPr="00C54F44">
              <w:rPr>
                <w:rFonts w:ascii="Arial" w:eastAsia="Times New Roman" w:hAnsi="Arial" w:cs="Arial"/>
                <w:color w:val="000000"/>
                <w:kern w:val="0"/>
                <w:szCs w:val="22"/>
                <w:lang w:val="ca-ES" w:eastAsia="es-ES"/>
              </w:rPr>
              <w:t> </w:t>
            </w:r>
          </w:p>
        </w:tc>
        <w:tc>
          <w:tcPr>
            <w:tcW w:w="4800" w:type="dxa"/>
            <w:gridSpan w:val="4"/>
            <w:tcBorders>
              <w:top w:val="nil"/>
              <w:left w:val="nil"/>
              <w:bottom w:val="nil"/>
              <w:right w:val="nil"/>
            </w:tcBorders>
            <w:noWrap/>
            <w:vAlign w:val="bottom"/>
            <w:hideMark/>
          </w:tcPr>
          <w:p w14:paraId="67FCEF76" w14:textId="77777777" w:rsidR="00346253" w:rsidRPr="00C54F44" w:rsidRDefault="00346253" w:rsidP="00956479">
            <w:pPr>
              <w:widowControl/>
              <w:suppressAutoHyphens w:val="0"/>
              <w:spacing w:line="276" w:lineRule="auto"/>
              <w:rPr>
                <w:rFonts w:ascii="Arial" w:eastAsia="Times New Roman" w:hAnsi="Arial" w:cs="Arial"/>
                <w:color w:val="000000"/>
                <w:kern w:val="0"/>
                <w:szCs w:val="22"/>
                <w:lang w:val="ca-ES" w:eastAsia="es-ES"/>
              </w:rPr>
            </w:pPr>
            <w:r>
              <w:rPr>
                <w:rFonts w:ascii="Arial" w:eastAsia="Times New Roman" w:hAnsi="Arial" w:cs="Arial"/>
                <w:color w:val="000000"/>
                <w:kern w:val="0"/>
                <w:szCs w:val="22"/>
                <w:lang w:val="ca-ES" w:eastAsia="es-ES"/>
              </w:rPr>
              <w:t>100% elèctric</w:t>
            </w:r>
          </w:p>
        </w:tc>
      </w:tr>
    </w:tbl>
    <w:p w14:paraId="30F87ABD" w14:textId="77777777" w:rsidR="00346253" w:rsidRDefault="00346253" w:rsidP="00346253">
      <w:pPr>
        <w:spacing w:after="160" w:line="276" w:lineRule="auto"/>
        <w:jc w:val="both"/>
        <w:rPr>
          <w:rFonts w:ascii="Arial" w:hAnsi="Arial" w:cs="Arial"/>
          <w:szCs w:val="22"/>
          <w:lang w:val="ca-ES"/>
        </w:rPr>
      </w:pPr>
    </w:p>
    <w:p w14:paraId="47896253" w14:textId="77777777" w:rsidR="00346253" w:rsidRPr="002F4096" w:rsidRDefault="00346253" w:rsidP="00346253">
      <w:pPr>
        <w:spacing w:after="160" w:line="276" w:lineRule="auto"/>
        <w:jc w:val="both"/>
        <w:rPr>
          <w:rFonts w:ascii="Arial" w:hAnsi="Arial" w:cs="Arial"/>
          <w:b/>
          <w:szCs w:val="22"/>
          <w:u w:val="single"/>
          <w:lang w:val="ca-ES"/>
        </w:rPr>
      </w:pPr>
      <w:r w:rsidRPr="008E5962">
        <w:rPr>
          <w:rFonts w:ascii="Arial" w:hAnsi="Arial" w:cs="Arial"/>
          <w:szCs w:val="22"/>
          <w:lang w:val="ca-ES"/>
        </w:rPr>
        <w:t>(</w:t>
      </w:r>
      <w:r w:rsidRPr="008E5962">
        <w:rPr>
          <w:rFonts w:ascii="Arial" w:hAnsi="Arial" w:cs="Arial"/>
          <w:i/>
          <w:iCs/>
          <w:szCs w:val="22"/>
          <w:u w:val="single"/>
          <w:lang w:val="ca-ES"/>
        </w:rPr>
        <w:t>Lloc, data i signatura del licitador</w:t>
      </w:r>
      <w:r w:rsidRPr="008E5962">
        <w:rPr>
          <w:rFonts w:ascii="Arial" w:hAnsi="Arial" w:cs="Arial"/>
          <w:szCs w:val="22"/>
          <w:lang w:val="ca-ES"/>
        </w:rPr>
        <w:t>)</w:t>
      </w:r>
    </w:p>
    <w:p w14:paraId="7C8DF6CC" w14:textId="77777777" w:rsidR="00346253" w:rsidRPr="008E5962" w:rsidRDefault="00346253" w:rsidP="00346253">
      <w:pPr>
        <w:spacing w:after="160" w:line="276" w:lineRule="auto"/>
        <w:ind w:left="709"/>
        <w:jc w:val="both"/>
        <w:rPr>
          <w:rFonts w:ascii="Arial" w:hAnsi="Arial" w:cs="Arial"/>
          <w:i/>
          <w:iCs/>
          <w:sz w:val="20"/>
          <w:szCs w:val="20"/>
          <w:lang w:val="ca-ES"/>
        </w:rPr>
      </w:pPr>
      <w:r w:rsidRPr="008E5962">
        <w:rPr>
          <w:rFonts w:ascii="Arial" w:hAnsi="Arial" w:cs="Arial"/>
          <w:i/>
          <w:iCs/>
          <w:sz w:val="20"/>
          <w:szCs w:val="20"/>
          <w:lang w:val="ca-ES"/>
        </w:rPr>
        <w:t xml:space="preserve">Si no s’indica cap opció, s’entendrà que no s’ofereix la millora en qüestió. Només es pot indicar una de les opcions per cada millora, en cas contrari s’entendrà que no s’ofereix la millora en qüestió. </w:t>
      </w:r>
    </w:p>
    <w:p w14:paraId="7D4C2CE5" w14:textId="4BFD4A36" w:rsidR="00FF349D" w:rsidRPr="00346253" w:rsidRDefault="00346253" w:rsidP="00346253">
      <w:pPr>
        <w:spacing w:after="160" w:line="276" w:lineRule="auto"/>
        <w:ind w:left="709"/>
        <w:jc w:val="both"/>
        <w:rPr>
          <w:rFonts w:ascii="Arial" w:hAnsi="Arial" w:cs="Arial"/>
          <w:i/>
          <w:iCs/>
          <w:sz w:val="20"/>
          <w:szCs w:val="20"/>
          <w:lang w:val="ca-ES"/>
        </w:rPr>
      </w:pPr>
      <w:r w:rsidRPr="008E5962">
        <w:rPr>
          <w:rFonts w:ascii="Arial" w:hAnsi="Arial" w:cs="Arial"/>
          <w:i/>
          <w:iCs/>
          <w:sz w:val="20"/>
          <w:szCs w:val="20"/>
          <w:lang w:val="ca-ES"/>
        </w:rPr>
        <w:t>Si s’assumeix la millora, aquesta passa a tenir consideració d’obligació essencial del contracte.</w:t>
      </w:r>
    </w:p>
    <w:sectPr w:rsidR="00FF349D" w:rsidRPr="003462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CBEE" w14:textId="77777777" w:rsidR="000F17ED" w:rsidRDefault="000F17ED" w:rsidP="008E1E92">
      <w:r>
        <w:separator/>
      </w:r>
    </w:p>
  </w:endnote>
  <w:endnote w:type="continuationSeparator" w:id="0">
    <w:p w14:paraId="01EE947A" w14:textId="77777777" w:rsidR="000F17ED" w:rsidRDefault="000F17ED" w:rsidP="008E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CA36" w14:textId="77777777" w:rsidR="008E1E92" w:rsidRPr="007B3F68" w:rsidRDefault="008E1E92" w:rsidP="008E1E92">
    <w:pPr>
      <w:pStyle w:val="Textindependent"/>
      <w:pBdr>
        <w:bottom w:val="single" w:sz="4" w:space="1" w:color="auto"/>
      </w:pBdr>
      <w:spacing w:before="100" w:beforeAutospacing="1" w:after="0"/>
      <w:jc w:val="right"/>
      <w:rPr>
        <w:rFonts w:ascii="Arial" w:hAnsi="Arial" w:cs="Arial"/>
        <w:sz w:val="20"/>
        <w:szCs w:val="20"/>
        <w:lang w:val="ca-ES"/>
      </w:rPr>
    </w:pPr>
    <w:r>
      <w:rPr>
        <w:lang w:val="ca-ES"/>
      </w:rPr>
      <w:tab/>
    </w:r>
  </w:p>
  <w:p w14:paraId="326F1BB6" w14:textId="77777777" w:rsidR="008E1E92" w:rsidRPr="007B3F68" w:rsidRDefault="008E1E92" w:rsidP="008E1E92">
    <w:pPr>
      <w:pStyle w:val="Peu"/>
      <w:spacing w:before="120"/>
      <w:jc w:val="center"/>
      <w:rPr>
        <w:rFonts w:ascii="Arial" w:hAnsi="Arial" w:cs="Arial"/>
        <w:sz w:val="18"/>
        <w:szCs w:val="18"/>
        <w:lang w:val="ca-ES"/>
      </w:rPr>
    </w:pPr>
    <w:bookmarkStart w:id="1" w:name="_Hlk114143740"/>
    <w:r w:rsidRPr="007B3F68">
      <w:rPr>
        <w:rFonts w:ascii="Arial" w:hAnsi="Arial" w:cs="Arial"/>
        <w:sz w:val="18"/>
        <w:szCs w:val="18"/>
        <w:lang w:val="ca-ES"/>
      </w:rPr>
      <w:t>Tel. 93.803.47.35</w:t>
    </w:r>
    <w:r>
      <w:rPr>
        <w:rFonts w:ascii="Arial" w:hAnsi="Arial" w:cs="Arial"/>
        <w:sz w:val="18"/>
        <w:szCs w:val="18"/>
        <w:lang w:val="ca-ES"/>
      </w:rPr>
      <w:t xml:space="preserve"> ·</w:t>
    </w:r>
    <w:r w:rsidRPr="007B3F68">
      <w:rPr>
        <w:rFonts w:ascii="Arial" w:hAnsi="Arial" w:cs="Arial"/>
        <w:sz w:val="18"/>
        <w:szCs w:val="18"/>
        <w:lang w:val="ca-ES"/>
      </w:rPr>
      <w:t xml:space="preserve"> www.montbui.cat</w:t>
    </w:r>
  </w:p>
  <w:bookmarkEnd w:id="1"/>
  <w:p w14:paraId="6B86E165" w14:textId="77777777" w:rsidR="008E1E92" w:rsidRPr="003653A5" w:rsidRDefault="008E1E92" w:rsidP="008E1E92">
    <w:pPr>
      <w:pStyle w:val="Textindependent"/>
      <w:tabs>
        <w:tab w:val="left" w:pos="4808"/>
      </w:tabs>
      <w:rPr>
        <w:lang w:val="ca-ES"/>
      </w:rPr>
    </w:pPr>
  </w:p>
  <w:p w14:paraId="782197F1" w14:textId="77777777" w:rsidR="008E1E92" w:rsidRDefault="008E1E9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89EA" w14:textId="77777777" w:rsidR="000F17ED" w:rsidRDefault="000F17ED" w:rsidP="008E1E92">
      <w:r>
        <w:separator/>
      </w:r>
    </w:p>
  </w:footnote>
  <w:footnote w:type="continuationSeparator" w:id="0">
    <w:p w14:paraId="04F4181F" w14:textId="77777777" w:rsidR="000F17ED" w:rsidRDefault="000F17ED" w:rsidP="008E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98DA" w14:textId="0B5B4857" w:rsidR="008E1E92" w:rsidRDefault="008E1E92">
    <w:pPr>
      <w:pStyle w:val="Capalera"/>
    </w:pPr>
    <w:r w:rsidRPr="00771882">
      <w:rPr>
        <w:noProof/>
        <w:lang w:val="ca-ES"/>
      </w:rPr>
      <w:drawing>
        <wp:inline distT="0" distB="0" distL="0" distR="0" wp14:anchorId="47F2E41B" wp14:editId="4C25C9FB">
          <wp:extent cx="1943100" cy="790575"/>
          <wp:effectExtent l="0" t="0" r="0" b="9525"/>
          <wp:docPr id="627890892" name="Imagen 62789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4256"/>
    <w:multiLevelType w:val="hybridMultilevel"/>
    <w:tmpl w:val="096CC1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4E7EBA"/>
    <w:multiLevelType w:val="hybridMultilevel"/>
    <w:tmpl w:val="04DE37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DE2081"/>
    <w:multiLevelType w:val="hybridMultilevel"/>
    <w:tmpl w:val="D73CCD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6190EC6"/>
    <w:multiLevelType w:val="hybridMultilevel"/>
    <w:tmpl w:val="1B726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2E0ED5"/>
    <w:multiLevelType w:val="hybridMultilevel"/>
    <w:tmpl w:val="5274BA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D4D55EB"/>
    <w:multiLevelType w:val="hybridMultilevel"/>
    <w:tmpl w:val="7C869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9107395">
    <w:abstractNumId w:val="3"/>
  </w:num>
  <w:num w:numId="2" w16cid:durableId="339431035">
    <w:abstractNumId w:val="1"/>
  </w:num>
  <w:num w:numId="3" w16cid:durableId="1058895698">
    <w:abstractNumId w:val="2"/>
  </w:num>
  <w:num w:numId="4" w16cid:durableId="165174823">
    <w:abstractNumId w:val="4"/>
  </w:num>
  <w:num w:numId="5" w16cid:durableId="1602252106">
    <w:abstractNumId w:val="6"/>
  </w:num>
  <w:num w:numId="6" w16cid:durableId="1161967151">
    <w:abstractNumId w:val="0"/>
  </w:num>
  <w:num w:numId="7" w16cid:durableId="408159019">
    <w:abstractNumId w:val="5"/>
  </w:num>
  <w:num w:numId="8" w16cid:durableId="730736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92"/>
    <w:rsid w:val="000F17ED"/>
    <w:rsid w:val="001A74C1"/>
    <w:rsid w:val="002B2050"/>
    <w:rsid w:val="00346253"/>
    <w:rsid w:val="003C03B2"/>
    <w:rsid w:val="008E1E92"/>
    <w:rsid w:val="009928EF"/>
    <w:rsid w:val="00D636C5"/>
    <w:rsid w:val="00E14895"/>
    <w:rsid w:val="00FF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54E8"/>
  <w15:chartTrackingRefBased/>
  <w15:docId w15:val="{9B8B3B6F-BABD-42E8-8F1A-5C1A2C6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92"/>
    <w:pPr>
      <w:widowControl w:val="0"/>
      <w:suppressAutoHyphens/>
      <w:spacing w:after="0" w:line="240" w:lineRule="auto"/>
    </w:pPr>
    <w:rPr>
      <w:rFonts w:ascii="Times New Roman" w:eastAsia="Lucida Sans Unicode" w:hAnsi="Times New Roman" w:cs="Times New Roman"/>
      <w:kern w:val="1"/>
      <w:szCs w:val="24"/>
      <w:lang w:eastAsia="ca-ES"/>
      <w14:ligatures w14:val="none"/>
    </w:rPr>
  </w:style>
  <w:style w:type="paragraph" w:styleId="Ttol1">
    <w:name w:val="heading 1"/>
    <w:basedOn w:val="Normal"/>
    <w:next w:val="Normal"/>
    <w:link w:val="Ttol1Car"/>
    <w:uiPriority w:val="9"/>
    <w:qFormat/>
    <w:rsid w:val="008E1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8E1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8E1E92"/>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8E1E92"/>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8E1E92"/>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E1E9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E1E9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E1E9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E1E9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E92"/>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E1E92"/>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E1E92"/>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E1E92"/>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E1E92"/>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E1E9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E1E9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E1E9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E1E92"/>
    <w:rPr>
      <w:rFonts w:eastAsiaTheme="majorEastAsia" w:cstheme="majorBidi"/>
      <w:color w:val="272727" w:themeColor="text1" w:themeTint="D8"/>
    </w:rPr>
  </w:style>
  <w:style w:type="paragraph" w:styleId="Ttol">
    <w:name w:val="Title"/>
    <w:basedOn w:val="Normal"/>
    <w:next w:val="Normal"/>
    <w:link w:val="TtolCar"/>
    <w:uiPriority w:val="10"/>
    <w:qFormat/>
    <w:rsid w:val="008E1E9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E1E9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E1E9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E1E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E92"/>
    <w:pPr>
      <w:spacing w:before="160"/>
      <w:jc w:val="center"/>
    </w:pPr>
    <w:rPr>
      <w:i/>
      <w:iCs/>
      <w:color w:val="404040" w:themeColor="text1" w:themeTint="BF"/>
    </w:rPr>
  </w:style>
  <w:style w:type="character" w:customStyle="1" w:styleId="CitaCar">
    <w:name w:val="Cita Car"/>
    <w:basedOn w:val="Lletraperdefectedelpargraf"/>
    <w:link w:val="Cita"/>
    <w:uiPriority w:val="29"/>
    <w:rsid w:val="008E1E92"/>
    <w:rPr>
      <w:i/>
      <w:iCs/>
      <w:color w:val="404040" w:themeColor="text1" w:themeTint="BF"/>
    </w:rPr>
  </w:style>
  <w:style w:type="paragraph" w:styleId="Pargrafdellista">
    <w:name w:val="List Paragraph"/>
    <w:basedOn w:val="Normal"/>
    <w:uiPriority w:val="34"/>
    <w:qFormat/>
    <w:rsid w:val="008E1E92"/>
    <w:pPr>
      <w:ind w:left="720"/>
      <w:contextualSpacing/>
    </w:pPr>
  </w:style>
  <w:style w:type="character" w:styleId="mfasiintens">
    <w:name w:val="Intense Emphasis"/>
    <w:basedOn w:val="Lletraperdefectedelpargraf"/>
    <w:uiPriority w:val="21"/>
    <w:qFormat/>
    <w:rsid w:val="008E1E92"/>
    <w:rPr>
      <w:i/>
      <w:iCs/>
      <w:color w:val="2F5496" w:themeColor="accent1" w:themeShade="BF"/>
    </w:rPr>
  </w:style>
  <w:style w:type="paragraph" w:styleId="Citaintensa">
    <w:name w:val="Intense Quote"/>
    <w:basedOn w:val="Normal"/>
    <w:next w:val="Normal"/>
    <w:link w:val="CitaintensaCar"/>
    <w:uiPriority w:val="30"/>
    <w:qFormat/>
    <w:rsid w:val="008E1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E1E92"/>
    <w:rPr>
      <w:i/>
      <w:iCs/>
      <w:color w:val="2F5496" w:themeColor="accent1" w:themeShade="BF"/>
    </w:rPr>
  </w:style>
  <w:style w:type="character" w:styleId="Refernciaintensa">
    <w:name w:val="Intense Reference"/>
    <w:basedOn w:val="Lletraperdefectedelpargraf"/>
    <w:uiPriority w:val="32"/>
    <w:qFormat/>
    <w:rsid w:val="008E1E92"/>
    <w:rPr>
      <w:b/>
      <w:bCs/>
      <w:smallCaps/>
      <w:color w:val="2F5496" w:themeColor="accent1" w:themeShade="BF"/>
      <w:spacing w:val="5"/>
    </w:rPr>
  </w:style>
  <w:style w:type="paragraph" w:styleId="Capalera">
    <w:name w:val="header"/>
    <w:basedOn w:val="Normal"/>
    <w:link w:val="CapaleraCar"/>
    <w:uiPriority w:val="99"/>
    <w:unhideWhenUsed/>
    <w:rsid w:val="008E1E92"/>
    <w:pPr>
      <w:tabs>
        <w:tab w:val="center" w:pos="4252"/>
        <w:tab w:val="right" w:pos="8504"/>
      </w:tabs>
    </w:pPr>
  </w:style>
  <w:style w:type="character" w:customStyle="1" w:styleId="CapaleraCar">
    <w:name w:val="Capçalera Car"/>
    <w:basedOn w:val="Lletraperdefectedelpargraf"/>
    <w:link w:val="Capalera"/>
    <w:uiPriority w:val="99"/>
    <w:rsid w:val="008E1E92"/>
  </w:style>
  <w:style w:type="paragraph" w:styleId="Peu">
    <w:name w:val="footer"/>
    <w:basedOn w:val="Normal"/>
    <w:link w:val="PeuCar"/>
    <w:uiPriority w:val="99"/>
    <w:unhideWhenUsed/>
    <w:rsid w:val="008E1E92"/>
    <w:pPr>
      <w:tabs>
        <w:tab w:val="center" w:pos="4252"/>
        <w:tab w:val="right" w:pos="8504"/>
      </w:tabs>
    </w:pPr>
  </w:style>
  <w:style w:type="character" w:customStyle="1" w:styleId="PeuCar">
    <w:name w:val="Peu Car"/>
    <w:basedOn w:val="Lletraperdefectedelpargraf"/>
    <w:link w:val="Peu"/>
    <w:uiPriority w:val="99"/>
    <w:qFormat/>
    <w:rsid w:val="008E1E92"/>
  </w:style>
  <w:style w:type="paragraph" w:styleId="Textindependent">
    <w:name w:val="Body Text"/>
    <w:basedOn w:val="Normal"/>
    <w:link w:val="TextindependentCar"/>
    <w:rsid w:val="008E1E92"/>
    <w:pPr>
      <w:spacing w:after="120"/>
    </w:pPr>
  </w:style>
  <w:style w:type="character" w:customStyle="1" w:styleId="TextindependentCar">
    <w:name w:val="Text independent Car"/>
    <w:basedOn w:val="Lletraperdefectedelpargraf"/>
    <w:link w:val="Textindependent"/>
    <w:rsid w:val="008E1E92"/>
    <w:rPr>
      <w:rFonts w:ascii="Times New Roman" w:eastAsia="Lucida Sans Unicode" w:hAnsi="Times New Roman" w:cs="Times New Roman"/>
      <w:kern w:val="1"/>
      <w:szCs w:val="24"/>
      <w:lang w:eastAsia="ca-ES"/>
      <w14:ligatures w14:val="none"/>
    </w:rPr>
  </w:style>
  <w:style w:type="paragraph" w:customStyle="1" w:styleId="Titol1">
    <w:name w:val="Titol 1"/>
    <w:basedOn w:val="Normal"/>
    <w:link w:val="Titol1Car"/>
    <w:qFormat/>
    <w:rsid w:val="008E1E92"/>
    <w:pPr>
      <w:widowControl/>
      <w:numPr>
        <w:numId w:val="1"/>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8E1E92"/>
    <w:pPr>
      <w:widowControl/>
      <w:numPr>
        <w:ilvl w:val="1"/>
        <w:numId w:val="1"/>
      </w:numPr>
      <w:suppressAutoHyphens w:val="0"/>
      <w:ind w:left="574"/>
      <w:jc w:val="both"/>
    </w:pPr>
    <w:rPr>
      <w:rFonts w:ascii="Arial" w:eastAsia="Times New Roman" w:hAnsi="Arial" w:cs="Arial"/>
      <w:b/>
      <w:kern w:val="0"/>
      <w:szCs w:val="22"/>
      <w:lang w:val="ca-ES" w:eastAsia="es-ES"/>
    </w:rPr>
  </w:style>
  <w:style w:type="character" w:customStyle="1" w:styleId="Titol1Car">
    <w:name w:val="Titol 1 Car"/>
    <w:link w:val="Titol1"/>
    <w:qFormat/>
    <w:rsid w:val="008E1E92"/>
    <w:rPr>
      <w:rFonts w:ascii="Arial" w:eastAsia="Times New Roman" w:hAnsi="Arial" w:cs="Arial"/>
      <w:b/>
      <w:kern w:val="0"/>
      <w:sz w:val="24"/>
      <w:szCs w:val="24"/>
      <w:lang w:val="ca-ES" w:eastAsia="es-ES"/>
      <w14:ligatures w14:val="none"/>
    </w:rPr>
  </w:style>
  <w:style w:type="character" w:customStyle="1" w:styleId="Titol2Car">
    <w:name w:val="Titol 2 Car"/>
    <w:link w:val="Titol2"/>
    <w:qFormat/>
    <w:rsid w:val="008E1E92"/>
    <w:rPr>
      <w:rFonts w:ascii="Arial" w:eastAsia="Times New Roman" w:hAnsi="Arial" w:cs="Arial"/>
      <w:b/>
      <w:kern w:val="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VALLS, IRINA</dc:creator>
  <cp:keywords/>
  <dc:description/>
  <cp:lastModifiedBy>CHUECOS RUIZ, RUTH</cp:lastModifiedBy>
  <cp:revision>2</cp:revision>
  <dcterms:created xsi:type="dcterms:W3CDTF">2026-06-18T08:06:00Z</dcterms:created>
  <dcterms:modified xsi:type="dcterms:W3CDTF">2026-06-18T08:06:00Z</dcterms:modified>
</cp:coreProperties>
</file>