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86" w:rsidRPr="00F55A14" w:rsidRDefault="002C0986" w:rsidP="002C098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2C0986" w:rsidRDefault="002C0986" w:rsidP="002C098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2C0986" w:rsidRDefault="002C0986" w:rsidP="002C098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2026/2466/3084</w:t>
      </w:r>
    </w:p>
    <w:p w:rsidR="002C0986" w:rsidRDefault="002C0986" w:rsidP="002C098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315C10">
        <w:rPr>
          <w:rFonts w:ascii="Arial" w:eastAsia="Calibri" w:hAnsi="Arial" w:cs="Arial"/>
          <w:szCs w:val="24"/>
          <w:lang w:eastAsia="en-US"/>
        </w:rPr>
        <w:t xml:space="preserve">Obres de restauració de les façanes del Museu Can </w:t>
      </w:r>
      <w:proofErr w:type="spellStart"/>
      <w:r w:rsidRPr="00315C10">
        <w:rPr>
          <w:rFonts w:ascii="Arial" w:eastAsia="Calibri" w:hAnsi="Arial" w:cs="Arial"/>
          <w:szCs w:val="24"/>
          <w:lang w:eastAsia="en-US"/>
        </w:rPr>
        <w:t>Tinturé</w:t>
      </w:r>
      <w:proofErr w:type="spellEnd"/>
      <w:r w:rsidRPr="00315C10">
        <w:rPr>
          <w:rFonts w:ascii="Arial" w:eastAsia="Calibri" w:hAnsi="Arial" w:cs="Arial"/>
          <w:szCs w:val="24"/>
          <w:lang w:eastAsia="en-US"/>
        </w:rPr>
        <w:t xml:space="preserve"> al municipi d’Esplugues de Llobregat</w:t>
      </w:r>
    </w:p>
    <w:p w:rsidR="002C0986" w:rsidRPr="00F55A14" w:rsidRDefault="002C0986" w:rsidP="002C098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C0986" w:rsidRPr="00F55A14" w:rsidRDefault="002C0986" w:rsidP="002C098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C0986" w:rsidRDefault="002C0986" w:rsidP="002C098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2C0986" w:rsidRDefault="002C0986" w:rsidP="002C098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2C0986" w:rsidRPr="009F2A5B" w:rsidRDefault="002C0986" w:rsidP="002C0986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l’execució de les o</w:t>
      </w:r>
      <w:r w:rsidRPr="0031370A">
        <w:rPr>
          <w:rFonts w:ascii="Arial" w:hAnsi="Arial" w:cs="Arial"/>
          <w:b/>
          <w:szCs w:val="24"/>
        </w:rPr>
        <w:t xml:space="preserve">bres de restauració de les façanes del Museu Can </w:t>
      </w:r>
      <w:proofErr w:type="spellStart"/>
      <w:r w:rsidRPr="0031370A">
        <w:rPr>
          <w:rFonts w:ascii="Arial" w:hAnsi="Arial" w:cs="Arial"/>
          <w:b/>
          <w:szCs w:val="24"/>
        </w:rPr>
        <w:t>Tinturé</w:t>
      </w:r>
      <w:proofErr w:type="spellEnd"/>
      <w:r w:rsidRPr="0031370A">
        <w:rPr>
          <w:rFonts w:ascii="Arial" w:hAnsi="Arial" w:cs="Arial"/>
          <w:b/>
          <w:szCs w:val="24"/>
        </w:rPr>
        <w:t xml:space="preserve"> al municipi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2C0986" w:rsidRDefault="002C0986" w:rsidP="002C0986">
      <w:pPr>
        <w:ind w:left="709"/>
        <w:jc w:val="both"/>
        <w:rPr>
          <w:rFonts w:ascii="Arial" w:hAnsi="Arial" w:cs="Arial"/>
          <w:szCs w:val="24"/>
        </w:rPr>
      </w:pPr>
    </w:p>
    <w:p w:rsidR="002C0986" w:rsidRDefault="002C0986" w:rsidP="002C0986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2C0986" w:rsidRDefault="002C0986" w:rsidP="002C0986">
      <w:pPr>
        <w:pStyle w:val="Estndar"/>
      </w:pPr>
    </w:p>
    <w:tbl>
      <w:tblPr>
        <w:tblW w:w="8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1845"/>
        <w:gridCol w:w="1710"/>
      </w:tblGrid>
      <w:tr w:rsidR="002C0986" w:rsidRPr="0031370A" w:rsidTr="00BE6D0A">
        <w:trPr>
          <w:trHeight w:val="5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CAPÍTOLS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PRESSUPOST LICITACIÓ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OFERTA LICITADOR</w:t>
            </w: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MITJANS AUXILIARS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17.902,16 €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RESTAURACIÓ DE PARAMENTS EXTERIORS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113.622,99 €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8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RESTAURACIÓ DE FUSTERIES EXTERIORS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19.667,43 €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GESTIÓ DE RESIDUS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600,57 €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600,57 €</w:t>
            </w: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SEGURETAT I SALUT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3.885,26 €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3.885,26 €</w:t>
            </w: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155.678,41 €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13 % despeses generals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20.238,19 €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6 % benefici industrial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9.340,70 €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Preu Execució per contracte PEC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185.257,30 €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21 % d’IVA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szCs w:val="24"/>
              </w:rPr>
              <w:t>38.904,03 €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C0986" w:rsidRPr="0031370A" w:rsidTr="00BE6D0A">
        <w:trPr>
          <w:trHeight w:val="31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31370A">
              <w:rPr>
                <w:rFonts w:ascii="Arial" w:hAnsi="Arial" w:cs="Arial"/>
                <w:b/>
                <w:bCs/>
                <w:szCs w:val="24"/>
              </w:rPr>
              <w:t>224.161,33 €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C0986" w:rsidRPr="0031370A" w:rsidRDefault="002C0986" w:rsidP="00BE6D0A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2C0986" w:rsidRPr="006549B8" w:rsidRDefault="002C0986" w:rsidP="002C0986">
      <w:pPr>
        <w:pStyle w:val="Estndar"/>
      </w:pPr>
    </w:p>
    <w:p w:rsidR="002C0986" w:rsidRDefault="002C0986" w:rsidP="002C0986">
      <w:pPr>
        <w:tabs>
          <w:tab w:val="left" w:pos="9072"/>
          <w:tab w:val="left" w:pos="9072"/>
        </w:tabs>
        <w:spacing w:before="120" w:after="120"/>
        <w:jc w:val="both"/>
        <w:rPr>
          <w:rFonts w:ascii="Arial" w:hAnsi="Arial" w:cs="Arial"/>
          <w:i/>
          <w:iCs/>
          <w:sz w:val="20"/>
        </w:rPr>
      </w:pPr>
    </w:p>
    <w:p w:rsidR="002C0986" w:rsidRPr="0031370A" w:rsidRDefault="002C0986" w:rsidP="002C0986">
      <w:pPr>
        <w:tabs>
          <w:tab w:val="left" w:pos="9072"/>
          <w:tab w:val="left" w:pos="9072"/>
        </w:tabs>
        <w:spacing w:before="120" w:after="120"/>
        <w:jc w:val="both"/>
        <w:rPr>
          <w:rFonts w:ascii="Arial" w:hAnsi="Arial" w:cs="Arial"/>
          <w:i/>
          <w:iCs/>
          <w:sz w:val="20"/>
        </w:rPr>
      </w:pPr>
      <w:r w:rsidRPr="0031370A">
        <w:rPr>
          <w:rFonts w:ascii="Arial" w:hAnsi="Arial" w:cs="Arial"/>
          <w:i/>
          <w:iCs/>
          <w:sz w:val="20"/>
        </w:rPr>
        <w:t>El contractista en el moment de realitzar la seva oferta tindrà en compte que cal coordinar l</w:t>
      </w:r>
      <w:r w:rsidRPr="0031370A">
        <w:rPr>
          <w:rFonts w:ascii="Arial" w:hAnsi="Arial" w:cs="Arial"/>
          <w:i/>
          <w:iCs/>
          <w:sz w:val="20"/>
          <w:u w:val="single"/>
        </w:rPr>
        <w:t xml:space="preserve">a compatibilitat de l’obra amb l’activitat del Museu de Can </w:t>
      </w:r>
      <w:proofErr w:type="spellStart"/>
      <w:r w:rsidRPr="0031370A">
        <w:rPr>
          <w:rFonts w:ascii="Arial" w:hAnsi="Arial" w:cs="Arial"/>
          <w:i/>
          <w:iCs/>
          <w:sz w:val="20"/>
          <w:u w:val="single"/>
        </w:rPr>
        <w:t>Tinturé</w:t>
      </w:r>
      <w:proofErr w:type="spellEnd"/>
      <w:r w:rsidRPr="0031370A">
        <w:rPr>
          <w:rFonts w:ascii="Arial" w:hAnsi="Arial" w:cs="Arial"/>
          <w:i/>
          <w:iCs/>
          <w:sz w:val="20"/>
          <w:u w:val="single"/>
        </w:rPr>
        <w:t xml:space="preserve"> </w:t>
      </w:r>
      <w:r w:rsidRPr="0031370A">
        <w:rPr>
          <w:rFonts w:ascii="Arial" w:hAnsi="Arial" w:cs="Arial"/>
          <w:i/>
          <w:iCs/>
          <w:sz w:val="20"/>
        </w:rPr>
        <w:t xml:space="preserve"> </w:t>
      </w:r>
    </w:p>
    <w:p w:rsidR="002C0986" w:rsidRPr="0031370A" w:rsidRDefault="002C0986" w:rsidP="002C0986">
      <w:pPr>
        <w:tabs>
          <w:tab w:val="left" w:pos="9072"/>
          <w:tab w:val="left" w:pos="9072"/>
        </w:tabs>
        <w:spacing w:before="120" w:after="120"/>
        <w:jc w:val="both"/>
        <w:rPr>
          <w:rFonts w:ascii="Arial" w:hAnsi="Arial" w:cs="Arial"/>
          <w:i/>
          <w:iCs/>
          <w:sz w:val="20"/>
        </w:rPr>
      </w:pPr>
      <w:r w:rsidRPr="0031370A">
        <w:rPr>
          <w:rFonts w:ascii="Arial" w:hAnsi="Arial" w:cs="Arial"/>
          <w:i/>
          <w:iCs/>
          <w:sz w:val="20"/>
        </w:rPr>
        <w:t>Per la qual cosa es fa coneixedor al contractista d’aquestes circumstàncies i és per això que no donarà lloc a cap preu contradictori per aquest concepte.</w:t>
      </w:r>
    </w:p>
    <w:p w:rsidR="002C0986" w:rsidRPr="0031370A" w:rsidRDefault="002C0986" w:rsidP="002C0986">
      <w:pPr>
        <w:pStyle w:val="Prrafodelista"/>
        <w:ind w:left="426"/>
        <w:jc w:val="both"/>
        <w:rPr>
          <w:rFonts w:ascii="Arial" w:hAnsi="Arial" w:cs="Arial"/>
        </w:rPr>
      </w:pPr>
    </w:p>
    <w:p w:rsidR="002C0986" w:rsidRPr="00067E2B" w:rsidRDefault="002C0986" w:rsidP="002C0986">
      <w:pPr>
        <w:pStyle w:val="Prrafodelista"/>
        <w:ind w:left="426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067E2B">
        <w:rPr>
          <w:rFonts w:ascii="Arial" w:hAnsi="Arial" w:cs="Arial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(en format PDF i en format TCQ) serà exclosa del present procediment de licitació. </w:t>
      </w:r>
      <w:r w:rsidRPr="00067E2B">
        <w:rPr>
          <w:rFonts w:ascii="Arial" w:hAnsi="Arial" w:cs="Arial"/>
          <w:u w:val="single"/>
        </w:rPr>
        <w:t xml:space="preserve">Les partides sobre les que no es poden modificar els preus de projecte són les corresponents als capítols de </w:t>
      </w:r>
      <w:r>
        <w:rPr>
          <w:rFonts w:ascii="Arial" w:hAnsi="Arial" w:cs="Arial"/>
          <w:u w:val="single"/>
        </w:rPr>
        <w:t xml:space="preserve">Gestió de residus i </w:t>
      </w:r>
      <w:r w:rsidRPr="00067E2B">
        <w:rPr>
          <w:rFonts w:ascii="Arial" w:hAnsi="Arial" w:cs="Arial"/>
          <w:u w:val="single"/>
        </w:rPr>
        <w:t>Seguretat i Salut (incloses al PEM del pressupost del projecte)</w:t>
      </w:r>
    </w:p>
    <w:p w:rsidR="002C0986" w:rsidRPr="00067E2B" w:rsidRDefault="002C0986" w:rsidP="002C0986">
      <w:pPr>
        <w:pStyle w:val="Prrafodelista"/>
        <w:ind w:left="426"/>
        <w:jc w:val="both"/>
        <w:rPr>
          <w:rFonts w:ascii="Arial" w:hAnsi="Arial" w:cs="Arial"/>
          <w:szCs w:val="22"/>
        </w:rPr>
      </w:pPr>
    </w:p>
    <w:p w:rsidR="002C0986" w:rsidRDefault="002C0986" w:rsidP="002C0986">
      <w:pPr>
        <w:ind w:left="851"/>
        <w:jc w:val="both"/>
        <w:rPr>
          <w:rFonts w:ascii="Arial" w:hAnsi="Arial" w:cs="Arial"/>
          <w:szCs w:val="24"/>
        </w:rPr>
      </w:pPr>
    </w:p>
    <w:p w:rsidR="002C0986" w:rsidRPr="00745510" w:rsidRDefault="002C0986" w:rsidP="002C0986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2C0986" w:rsidRPr="0028743A" w:rsidRDefault="002C0986" w:rsidP="002C0986">
      <w:pPr>
        <w:jc w:val="both"/>
        <w:rPr>
          <w:rFonts w:ascii="Arial" w:hAnsi="Arial" w:cs="Arial"/>
          <w:i/>
          <w:color w:val="auto"/>
          <w:szCs w:val="24"/>
        </w:rPr>
      </w:pPr>
    </w:p>
    <w:p w:rsidR="002C0986" w:rsidRPr="00BF6B3A" w:rsidRDefault="002C0986" w:rsidP="002C098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>
        <w:rPr>
          <w:rFonts w:ascii="Arial" w:hAnsi="Arial" w:cs="Arial"/>
          <w:b/>
        </w:rPr>
        <w:t xml:space="preserve">1. Ampliació del termini de garantia. </w:t>
      </w:r>
    </w:p>
    <w:p w:rsidR="002C0986" w:rsidRDefault="002C0986" w:rsidP="002C0986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pPr w:leftFromText="180" w:rightFromText="180" w:topFromText="180" w:bottomFromText="180" w:vertAnchor="text" w:tblpX="-179"/>
        <w:tblW w:w="9315" w:type="dxa"/>
        <w:tblLayout w:type="fixed"/>
        <w:tblLook w:val="0600" w:firstRow="0" w:lastRow="0" w:firstColumn="0" w:lastColumn="0" w:noHBand="1" w:noVBand="1"/>
      </w:tblPr>
      <w:tblGrid>
        <w:gridCol w:w="1110"/>
        <w:gridCol w:w="7440"/>
        <w:gridCol w:w="765"/>
      </w:tblGrid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Millora 1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b/>
                <w:bCs/>
                <w:color w:val="auto"/>
                <w:sz w:val="16"/>
                <w:szCs w:val="16"/>
                <w:lang w:val="ca"/>
              </w:rPr>
              <w:t>Augment del termini de garantia previst al plec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No ofereix ampliació de termini addicional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2C0986">
            <w:pPr>
              <w:keepLines/>
              <w:widowControl w:val="0"/>
              <w:numPr>
                <w:ilvl w:val="0"/>
                <w:numId w:val="4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1 any addicional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2C0986">
            <w:pPr>
              <w:keepLines/>
              <w:widowControl w:val="0"/>
              <w:numPr>
                <w:ilvl w:val="0"/>
                <w:numId w:val="2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44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2 anys addicionals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2C0986">
            <w:pPr>
              <w:keepLines/>
              <w:widowControl w:val="0"/>
              <w:numPr>
                <w:ilvl w:val="0"/>
                <w:numId w:val="3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</w:tbl>
    <w:p w:rsidR="002C0986" w:rsidRDefault="002C0986" w:rsidP="002C098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2C0986" w:rsidRPr="0031370A" w:rsidRDefault="002C0986" w:rsidP="002C0986">
      <w:pPr>
        <w:keepLines/>
        <w:spacing w:before="120" w:after="120" w:line="276" w:lineRule="auto"/>
        <w:ind w:left="-135" w:right="-136"/>
        <w:rPr>
          <w:rFonts w:ascii="Arial" w:hAnsi="Arial" w:cs="Arial"/>
          <w:sz w:val="20"/>
        </w:rPr>
      </w:pPr>
      <w:r w:rsidRPr="0031370A">
        <w:rPr>
          <w:rFonts w:ascii="Arial" w:hAnsi="Arial" w:cs="Arial"/>
          <w:sz w:val="20"/>
        </w:rPr>
        <w:t>Si no s’indica cap casella o s’indica més d’una no es puntuarà la millora.</w:t>
      </w:r>
    </w:p>
    <w:p w:rsidR="002C0986" w:rsidRPr="00D053AE" w:rsidRDefault="002C0986" w:rsidP="002C098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2C0986" w:rsidRPr="00067E2B" w:rsidRDefault="002C0986" w:rsidP="002C098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>Millora</w:t>
      </w:r>
      <w:r>
        <w:rPr>
          <w:rFonts w:ascii="Arial" w:hAnsi="Arial" w:cs="Arial"/>
          <w:b/>
        </w:rPr>
        <w:t xml:space="preserve"> 2. Digitalització “as-</w:t>
      </w:r>
      <w:proofErr w:type="spellStart"/>
      <w:r>
        <w:rPr>
          <w:rFonts w:ascii="Arial" w:hAnsi="Arial" w:cs="Arial"/>
          <w:b/>
        </w:rPr>
        <w:t>built</w:t>
      </w:r>
      <w:proofErr w:type="spellEnd"/>
      <w:r>
        <w:rPr>
          <w:rFonts w:ascii="Arial" w:hAnsi="Arial" w:cs="Arial"/>
          <w:b/>
        </w:rPr>
        <w:t>” de l’envolupant mitjançant model BIM.</w:t>
      </w:r>
      <w:r w:rsidRPr="00D053AE">
        <w:rPr>
          <w:rFonts w:ascii="Arial" w:hAnsi="Arial" w:cs="Arial"/>
          <w:b/>
        </w:rPr>
        <w:t>.</w:t>
      </w:r>
    </w:p>
    <w:p w:rsidR="002C0986" w:rsidRDefault="002C0986" w:rsidP="002C0986">
      <w:pPr>
        <w:ind w:left="1146"/>
        <w:jc w:val="both"/>
        <w:rPr>
          <w:rFonts w:ascii="Arial" w:hAnsi="Arial" w:cs="Arial"/>
          <w:b/>
          <w:bCs/>
          <w:szCs w:val="24"/>
        </w:rPr>
      </w:pPr>
    </w:p>
    <w:tbl>
      <w:tblPr>
        <w:tblpPr w:leftFromText="180" w:rightFromText="180" w:topFromText="180" w:bottomFromText="180" w:vertAnchor="text" w:tblpX="-135"/>
        <w:tblW w:w="9180" w:type="dxa"/>
        <w:tblLayout w:type="fixed"/>
        <w:tblLook w:val="0600" w:firstRow="0" w:lastRow="0" w:firstColumn="0" w:lastColumn="0" w:noHBand="1" w:noVBand="1"/>
      </w:tblPr>
      <w:tblGrid>
        <w:gridCol w:w="1110"/>
        <w:gridCol w:w="7365"/>
        <w:gridCol w:w="705"/>
      </w:tblGrid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12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Millora 2</w:t>
            </w:r>
          </w:p>
        </w:tc>
        <w:tc>
          <w:tcPr>
            <w:tcW w:w="73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Digitalització “As-</w:t>
            </w:r>
            <w:proofErr w:type="spellStart"/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Built</w:t>
            </w:r>
            <w:proofErr w:type="spellEnd"/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” de l'envolupant mitjançant model BIM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36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2C0986" w:rsidRPr="0031370A" w:rsidRDefault="002C0986" w:rsidP="00BE6D0A">
            <w:pPr>
              <w:widowControl w:val="0"/>
              <w:ind w:right="4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NO ofereix el compromís de lliurar a la finalització de les obres, un model digital d’informació BIM de les façanes restaurades de l’edifici en els termes descrits a la millora 2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2C0986">
            <w:pPr>
              <w:keepLines/>
              <w:widowControl w:val="0"/>
              <w:numPr>
                <w:ilvl w:val="0"/>
                <w:numId w:val="4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  <w:tr w:rsidR="002C0986" w:rsidRPr="0031370A" w:rsidTr="00BE6D0A">
        <w:trPr>
          <w:trHeight w:val="330"/>
        </w:trPr>
        <w:tc>
          <w:tcPr>
            <w:tcW w:w="111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keepLines/>
              <w:widowControl w:val="0"/>
              <w:spacing w:line="276" w:lineRule="auto"/>
              <w:ind w:right="49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BE6D0A">
            <w:pPr>
              <w:widowControl w:val="0"/>
              <w:ind w:right="4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  <w:r w:rsidRPr="0031370A"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  <w:t>SI ofereix el compromís de lliurar a la finalització de les obres, un model digital d’informació BIM de les façanes restaurades de l’edifici en els termes descrits a la millora 2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0986" w:rsidRPr="0031370A" w:rsidRDefault="002C0986" w:rsidP="002C0986">
            <w:pPr>
              <w:keepLines/>
              <w:widowControl w:val="0"/>
              <w:numPr>
                <w:ilvl w:val="0"/>
                <w:numId w:val="3"/>
              </w:numPr>
              <w:spacing w:line="276" w:lineRule="auto"/>
              <w:ind w:right="49"/>
              <w:jc w:val="right"/>
              <w:rPr>
                <w:rFonts w:ascii="Arial" w:eastAsia="Arial" w:hAnsi="Arial" w:cs="Arial"/>
                <w:color w:val="auto"/>
                <w:sz w:val="16"/>
                <w:szCs w:val="16"/>
                <w:lang w:val="ca"/>
              </w:rPr>
            </w:pPr>
          </w:p>
        </w:tc>
      </w:tr>
    </w:tbl>
    <w:p w:rsidR="002C0986" w:rsidRDefault="002C0986" w:rsidP="002C098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2C0986" w:rsidRPr="0031370A" w:rsidRDefault="002C0986" w:rsidP="002C0986">
      <w:pPr>
        <w:keepLines/>
        <w:spacing w:before="120" w:after="120" w:line="276" w:lineRule="auto"/>
        <w:ind w:left="-135" w:right="-136"/>
        <w:rPr>
          <w:rFonts w:ascii="Arial" w:hAnsi="Arial" w:cs="Arial"/>
          <w:sz w:val="20"/>
        </w:rPr>
      </w:pPr>
      <w:r w:rsidRPr="0031370A">
        <w:rPr>
          <w:rFonts w:ascii="Arial" w:hAnsi="Arial" w:cs="Arial"/>
          <w:sz w:val="20"/>
        </w:rPr>
        <w:t>Si no s’indica cap casella o s’indica més d’una no es puntuarà la millora.</w:t>
      </w:r>
    </w:p>
    <w:p w:rsidR="002C0986" w:rsidRDefault="002C0986" w:rsidP="002C098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2C0986" w:rsidRPr="002941D0" w:rsidRDefault="002C0986" w:rsidP="002C0986">
      <w:pPr>
        <w:jc w:val="both"/>
        <w:rPr>
          <w:rFonts w:ascii="Arial" w:hAnsi="Arial" w:cs="Arial"/>
          <w:b/>
          <w:bCs/>
          <w:szCs w:val="24"/>
        </w:rPr>
      </w:pPr>
    </w:p>
    <w:p w:rsidR="002C0986" w:rsidRDefault="002C0986" w:rsidP="002C0986">
      <w:pPr>
        <w:ind w:left="709"/>
        <w:jc w:val="both"/>
        <w:rPr>
          <w:rFonts w:ascii="Arial" w:hAnsi="Arial" w:cs="Arial"/>
          <w:szCs w:val="24"/>
        </w:rPr>
      </w:pPr>
    </w:p>
    <w:p w:rsidR="002C0986" w:rsidRPr="00AE1DFA" w:rsidRDefault="002C0986" w:rsidP="002C0986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905C36" w:rsidRDefault="00905C36"/>
    <w:sectPr w:rsidR="00905C36" w:rsidSect="00604C08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0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2C098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B3A" w:rsidRDefault="002C0986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2C098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F6B3A" w:rsidRDefault="002C0986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2C0986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2C0986">
    <w:pPr>
      <w:pStyle w:val="Encabezado"/>
      <w:rPr>
        <w:noProof/>
        <w:lang w:val="es-ES"/>
      </w:rPr>
    </w:pPr>
    <w:bookmarkStart w:id="1" w:name="_Hlk232590905"/>
    <w:r>
      <w:rPr>
        <w:noProof/>
        <w:lang w:val="es-ES"/>
      </w:rPr>
      <w:drawing>
        <wp:inline distT="0" distB="0" distL="0" distR="0">
          <wp:extent cx="914400" cy="537845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F6B3A" w:rsidRDefault="002C09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2C0986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7845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2C0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916"/>
    <w:multiLevelType w:val="multilevel"/>
    <w:tmpl w:val="A0CAE8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39E426F"/>
    <w:multiLevelType w:val="multilevel"/>
    <w:tmpl w:val="A4362C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BE5CCF"/>
    <w:multiLevelType w:val="multilevel"/>
    <w:tmpl w:val="8E80533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6"/>
    <w:rsid w:val="002C0986"/>
    <w:rsid w:val="00905C3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B41A"/>
  <w15:chartTrackingRefBased/>
  <w15:docId w15:val="{B63E28C1-4734-4F7F-9B14-4E6AFAD1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98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2C0986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2C09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98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2C0986"/>
  </w:style>
  <w:style w:type="character" w:customStyle="1" w:styleId="EstndarCar">
    <w:name w:val="Estándar Car"/>
    <w:link w:val="Estndar"/>
    <w:rsid w:val="002C098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C0986"/>
    <w:pPr>
      <w:ind w:left="708"/>
    </w:pPr>
  </w:style>
  <w:style w:type="paragraph" w:styleId="Encabezado">
    <w:name w:val="header"/>
    <w:basedOn w:val="Normal"/>
    <w:link w:val="EncabezadoCar"/>
    <w:unhideWhenUsed/>
    <w:rsid w:val="002C0986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2C0986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2C098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2026-06-17T10:16:00Z</dcterms:created>
  <dcterms:modified xsi:type="dcterms:W3CDTF">2026-06-17T10:18:00Z</dcterms:modified>
</cp:coreProperties>
</file>