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8F" w:rsidRPr="00F55A14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83678F" w:rsidRDefault="0083678F" w:rsidP="0083678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83678F" w:rsidRPr="001D4E74" w:rsidRDefault="0083678F" w:rsidP="0083678F">
      <w:pPr>
        <w:ind w:left="720" w:hanging="11"/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>Exp. 2025/14379/3084</w:t>
      </w:r>
    </w:p>
    <w:p w:rsidR="0083678F" w:rsidRPr="00F55A14" w:rsidRDefault="0083678F" w:rsidP="0083678F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Obres d’adequació de l’entorn de la nova Seu Policial d’Esplugues de Llobregat, cofinançat pel fons europeu de desenvolupament regional (FEDER) de la Unió Europea, en el marc del programa </w:t>
      </w:r>
      <w:proofErr w:type="spellStart"/>
      <w:r w:rsidRPr="001D4E74">
        <w:rPr>
          <w:rFonts w:ascii="Arial" w:eastAsia="Calibri" w:hAnsi="Arial" w:cs="Arial"/>
          <w:b/>
          <w:bCs/>
          <w:szCs w:val="24"/>
          <w:lang w:eastAsia="en-US"/>
        </w:rPr>
        <w:t>pluriregional</w:t>
      </w:r>
      <w:proofErr w:type="spellEnd"/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 d’Espanya FEDER 2021-2027 (POPE 21-27</w:t>
      </w:r>
      <w:r w:rsidRPr="001D4E74">
        <w:rPr>
          <w:rFonts w:ascii="Arial" w:eastAsia="Calibri" w:hAnsi="Arial" w:cs="Arial"/>
          <w:szCs w:val="24"/>
          <w:lang w:eastAsia="en-US"/>
        </w:rPr>
        <w:t>)</w:t>
      </w:r>
    </w:p>
    <w:p w:rsidR="0083678F" w:rsidRPr="00F55A14" w:rsidRDefault="0083678F" w:rsidP="0083678F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83678F" w:rsidRDefault="0083678F" w:rsidP="0083678F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83678F" w:rsidRDefault="0083678F" w:rsidP="0083678F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Pr="009F2A5B" w:rsidRDefault="0083678F" w:rsidP="0083678F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067E2B">
        <w:rPr>
          <w:rFonts w:ascii="Arial" w:hAnsi="Arial" w:cs="Arial"/>
          <w:b/>
          <w:szCs w:val="24"/>
        </w:rPr>
        <w:t>d’adequació de l’entorn de la nova Seu Policial d’Esplugues de Llobregat</w:t>
      </w:r>
      <w:r w:rsidRPr="00714CD5">
        <w:rPr>
          <w:rFonts w:ascii="Arial" w:hAnsi="Arial" w:cs="Arial"/>
          <w:b/>
          <w:szCs w:val="24"/>
        </w:rPr>
        <w:t xml:space="preserve">, cofinançat pel fons europeu de desenvolupament regional (FEDER) de la Unió Europea, en el marc del programa </w:t>
      </w:r>
      <w:proofErr w:type="spellStart"/>
      <w:r w:rsidRPr="00714CD5">
        <w:rPr>
          <w:rFonts w:ascii="Arial" w:hAnsi="Arial" w:cs="Arial"/>
          <w:b/>
          <w:szCs w:val="24"/>
        </w:rPr>
        <w:t>pluriregional</w:t>
      </w:r>
      <w:proofErr w:type="spellEnd"/>
      <w:r w:rsidRPr="00714CD5">
        <w:rPr>
          <w:rFonts w:ascii="Arial" w:hAnsi="Arial" w:cs="Arial"/>
          <w:b/>
          <w:szCs w:val="24"/>
        </w:rPr>
        <w:t xml:space="preserve"> d’Espanya FEDER 2021-2027 (POPE 21-27)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</w:p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83678F" w:rsidRDefault="0083678F" w:rsidP="0083678F">
      <w:pPr>
        <w:pStyle w:val="Estndar"/>
      </w:pPr>
    </w:p>
    <w:tbl>
      <w:tblPr>
        <w:tblW w:w="8955" w:type="dxa"/>
        <w:tblInd w:w="-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555"/>
        <w:gridCol w:w="1350"/>
        <w:gridCol w:w="1515"/>
      </w:tblGrid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PRESSUPOST OBRA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projecte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oferta licitador</w:t>
            </w: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DEMOLICIONS I ENDERROCS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5.687,77 €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MOVIMENT DE TERRES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23.678,31 €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PAVIMENTACIÓ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242.388,32 €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ENJARDINAMENT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79.074,03 €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DE PLUVIALS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25.287,69 €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DE REG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58.563,43 €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D'ENLLUMENAT PÚBLIC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40.145,04 €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MOBILIARI URBÀ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32.619,70 €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PROGRAMA FUNCIONAL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15.556,33 €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SEGURETAT I SALUT I CONTROL DE QUALITAT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15.892,67 €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15.892,67 €</w:t>
            </w: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PEM Pressupost d'execució material TOTAL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538.893,29 €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BI Benefici industrial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6%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32.333,60 €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DG Despeses generals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13%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70.056,13 €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lastRenderedPageBreak/>
              <w:t>PEC Pressupost d'execució per contracte (s/IVA)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641.283,02 €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IVA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21%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134.669,43 €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83678F" w:rsidRPr="00067E2B" w:rsidTr="00E96C15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PEC Pressupost d'execució per contracte (amb IVA)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775.952,45 €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3678F" w:rsidRPr="00067E2B" w:rsidRDefault="0083678F" w:rsidP="00E96C15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</w:tbl>
    <w:p w:rsidR="0083678F" w:rsidRPr="006549B8" w:rsidRDefault="0083678F" w:rsidP="0083678F">
      <w:pPr>
        <w:pStyle w:val="Estndar"/>
      </w:pPr>
    </w:p>
    <w:p w:rsidR="0083678F" w:rsidRPr="00067E2B" w:rsidRDefault="0083678F" w:rsidP="0083678F">
      <w:pPr>
        <w:pStyle w:val="Prrafodelista"/>
        <w:ind w:left="426"/>
        <w:jc w:val="both"/>
        <w:rPr>
          <w:rFonts w:ascii="Arial" w:hAnsi="Arial" w:cs="Arial"/>
          <w:u w:val="single"/>
        </w:rPr>
      </w:pPr>
      <w:r w:rsidRPr="00067E2B">
        <w:rPr>
          <w:rFonts w:ascii="Arial" w:hAnsi="Arial" w:cs="Arial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(en format PDF i en format TCQ) serà exclosa del present procediment de licitació. </w:t>
      </w:r>
      <w:r w:rsidRPr="00067E2B">
        <w:rPr>
          <w:rFonts w:ascii="Arial" w:hAnsi="Arial" w:cs="Arial"/>
          <w:u w:val="single"/>
        </w:rPr>
        <w:t xml:space="preserve">Les partides sobre les que no es poden modificar els preus de projecte són les corresponents als capítols de Seguretat i Salut </w:t>
      </w:r>
      <w:bookmarkStart w:id="1" w:name="_Hlk219364322"/>
      <w:r w:rsidRPr="00067E2B">
        <w:rPr>
          <w:rFonts w:ascii="Arial" w:hAnsi="Arial" w:cs="Arial"/>
          <w:u w:val="single"/>
        </w:rPr>
        <w:t xml:space="preserve">i Control de Qualitat </w:t>
      </w:r>
      <w:bookmarkEnd w:id="1"/>
      <w:r w:rsidRPr="00067E2B">
        <w:rPr>
          <w:rFonts w:ascii="Arial" w:hAnsi="Arial" w:cs="Arial"/>
          <w:u w:val="single"/>
        </w:rPr>
        <w:t>(incloses al PEM del pressupost del projecte)</w:t>
      </w:r>
    </w:p>
    <w:p w:rsidR="0083678F" w:rsidRPr="00067E2B" w:rsidRDefault="0083678F" w:rsidP="0083678F">
      <w:pPr>
        <w:pStyle w:val="Prrafodelista"/>
        <w:ind w:left="426"/>
        <w:jc w:val="both"/>
        <w:rPr>
          <w:rFonts w:ascii="Arial" w:hAnsi="Arial" w:cs="Arial"/>
          <w:szCs w:val="22"/>
        </w:rPr>
      </w:pPr>
    </w:p>
    <w:p w:rsidR="0083678F" w:rsidRDefault="0083678F" w:rsidP="0083678F">
      <w:pPr>
        <w:ind w:left="851"/>
        <w:jc w:val="both"/>
        <w:rPr>
          <w:rFonts w:ascii="Arial" w:hAnsi="Arial" w:cs="Arial"/>
          <w:szCs w:val="24"/>
        </w:rPr>
      </w:pPr>
    </w:p>
    <w:p w:rsidR="0083678F" w:rsidRPr="00745510" w:rsidRDefault="0083678F" w:rsidP="0083678F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83678F" w:rsidRPr="0028743A" w:rsidRDefault="0083678F" w:rsidP="0083678F">
      <w:pPr>
        <w:jc w:val="both"/>
        <w:rPr>
          <w:rFonts w:ascii="Arial" w:hAnsi="Arial" w:cs="Arial"/>
          <w:i/>
          <w:color w:val="auto"/>
          <w:szCs w:val="24"/>
        </w:rPr>
      </w:pPr>
    </w:p>
    <w:p w:rsidR="0083678F" w:rsidRPr="00BF6B3A" w:rsidRDefault="0083678F" w:rsidP="0083678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 w:rsidRPr="00067E2B">
        <w:rPr>
          <w:rFonts w:ascii="Arial" w:hAnsi="Arial" w:cs="Arial"/>
          <w:b/>
        </w:rPr>
        <w:t>en la instal·lació d’una nova font per a beure a l’entorn del circuit de mobilitat</w:t>
      </w:r>
      <w:r>
        <w:rPr>
          <w:rFonts w:ascii="Arial" w:hAnsi="Arial" w:cs="Arial"/>
          <w:b/>
        </w:rPr>
        <w:t>.</w:t>
      </w:r>
    </w:p>
    <w:p w:rsidR="0083678F" w:rsidRDefault="0083678F" w:rsidP="0083678F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83678F" w:rsidRPr="00C84819" w:rsidTr="00E96C15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Sí,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83678F" w:rsidRPr="00C84819" w:rsidTr="00E96C15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83678F" w:rsidRPr="00D053AE" w:rsidRDefault="0083678F" w:rsidP="0083678F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83678F" w:rsidRPr="00067E2B" w:rsidRDefault="0083678F" w:rsidP="0083678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 w:rsidRPr="00067E2B">
        <w:rPr>
          <w:rFonts w:ascii="Arial" w:hAnsi="Arial" w:cs="Arial"/>
          <w:b/>
        </w:rPr>
        <w:t>en l’aportació d’ombres en l’àmbit del circuit de mobilitat mitjançant arbres de major mida</w:t>
      </w:r>
      <w:r w:rsidRPr="00D053AE">
        <w:rPr>
          <w:rFonts w:ascii="Arial" w:hAnsi="Arial" w:cs="Arial"/>
          <w:b/>
        </w:rPr>
        <w:t>.</w:t>
      </w:r>
    </w:p>
    <w:p w:rsidR="0083678F" w:rsidRDefault="0083678F" w:rsidP="0083678F">
      <w:pPr>
        <w:ind w:left="1146"/>
        <w:jc w:val="both"/>
        <w:rPr>
          <w:rFonts w:ascii="Arial" w:hAnsi="Arial" w:cs="Arial"/>
          <w:b/>
          <w:bCs/>
          <w:szCs w:val="24"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83678F" w:rsidRPr="00C84819" w:rsidTr="00E96C15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Sí,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83678F" w:rsidRPr="00C84819" w:rsidTr="00E96C15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83678F" w:rsidRDefault="0083678F" w:rsidP="0083678F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83678F" w:rsidRDefault="0083678F" w:rsidP="0083678F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83678F" w:rsidRPr="00A24A2D" w:rsidRDefault="0083678F" w:rsidP="0083678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24A2D">
        <w:rPr>
          <w:rFonts w:ascii="Arial" w:hAnsi="Arial" w:cs="Arial"/>
          <w:b/>
        </w:rPr>
        <w:t>Increment del termini de garantia</w:t>
      </w:r>
      <w:r w:rsidRPr="00BF6B3A">
        <w:rPr>
          <w:rFonts w:ascii="Arial" w:hAnsi="Arial" w:cs="Arial"/>
          <w:b/>
        </w:rPr>
        <w:t>.</w:t>
      </w:r>
    </w:p>
    <w:p w:rsidR="0083678F" w:rsidRPr="00BF6B3A" w:rsidRDefault="0083678F" w:rsidP="0083678F">
      <w:pPr>
        <w:ind w:left="1146"/>
        <w:jc w:val="both"/>
        <w:rPr>
          <w:rFonts w:ascii="Arial" w:hAnsi="Arial" w:cs="Arial"/>
          <w:b/>
          <w:bCs/>
          <w:szCs w:val="24"/>
        </w:rPr>
      </w:pPr>
    </w:p>
    <w:tbl>
      <w:tblPr>
        <w:tblW w:w="4500" w:type="dxa"/>
        <w:tblInd w:w="1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750"/>
      </w:tblGrid>
      <w:tr w:rsidR="0083678F" w:rsidRPr="00C84819" w:rsidTr="00E96C15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Sí, s’ofereix 1 any addicional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83678F" w:rsidRPr="00C84819" w:rsidTr="00E96C15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Sí, s’ofereixen 2 anys addicionals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83678F" w:rsidRPr="00C84819" w:rsidTr="00E96C15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No s’ofereix increment de termini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78F" w:rsidRPr="00C84819" w:rsidRDefault="0083678F" w:rsidP="00E96C15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</w:p>
    <w:p w:rsidR="0083678F" w:rsidRPr="00D053AE" w:rsidRDefault="0083678F" w:rsidP="0083678F">
      <w:pPr>
        <w:jc w:val="both"/>
        <w:rPr>
          <w:rFonts w:ascii="Arial" w:hAnsi="Arial" w:cs="Arial"/>
          <w:b/>
          <w:bCs/>
          <w:szCs w:val="24"/>
        </w:rPr>
      </w:pPr>
    </w:p>
    <w:p w:rsidR="0083678F" w:rsidRPr="00D053AE" w:rsidRDefault="0083678F" w:rsidP="0083678F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highlight w:val="white"/>
          <w:u w:val="single"/>
        </w:rPr>
      </w:pPr>
      <w:r w:rsidRPr="00D053AE">
        <w:rPr>
          <w:rFonts w:ascii="Arial" w:hAnsi="Arial" w:cs="Arial"/>
          <w:highlight w:val="white"/>
          <w:u w:val="single"/>
        </w:rPr>
        <w:t>Per als tres casos anteriors, en cas de marcar més d’una opció es considerarà que NO s’ofereix la millora</w:t>
      </w:r>
      <w:r>
        <w:rPr>
          <w:rFonts w:ascii="Arial" w:hAnsi="Arial" w:cs="Arial"/>
          <w:highlight w:val="white"/>
          <w:u w:val="single"/>
        </w:rPr>
        <w:t xml:space="preserve"> </w:t>
      </w:r>
      <w:r w:rsidRPr="00A24A2D">
        <w:rPr>
          <w:rFonts w:ascii="Arial" w:hAnsi="Arial" w:cs="Arial"/>
          <w:highlight w:val="white"/>
          <w:u w:val="single"/>
        </w:rPr>
        <w:t>o no s’amplia la garantia segons cada cas</w:t>
      </w:r>
    </w:p>
    <w:p w:rsidR="0083678F" w:rsidRPr="00D053AE" w:rsidRDefault="0083678F" w:rsidP="0083678F">
      <w:pPr>
        <w:jc w:val="both"/>
        <w:rPr>
          <w:rFonts w:ascii="Arial" w:hAnsi="Arial" w:cs="Arial"/>
          <w:b/>
          <w:bCs/>
          <w:szCs w:val="24"/>
        </w:rPr>
      </w:pPr>
    </w:p>
    <w:p w:rsidR="0083678F" w:rsidRDefault="0083678F" w:rsidP="0083678F">
      <w:pPr>
        <w:jc w:val="both"/>
        <w:rPr>
          <w:rFonts w:ascii="Arial" w:hAnsi="Arial" w:cs="Arial"/>
          <w:b/>
          <w:bCs/>
          <w:szCs w:val="24"/>
        </w:rPr>
      </w:pPr>
    </w:p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</w:p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83678F" w:rsidRDefault="0083678F" w:rsidP="0083678F">
      <w:pPr>
        <w:ind w:left="709"/>
        <w:jc w:val="both"/>
        <w:rPr>
          <w:rFonts w:ascii="Arial" w:hAnsi="Arial" w:cs="Arial"/>
          <w:szCs w:val="24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83678F" w:rsidRDefault="0083678F" w:rsidP="0083678F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8F" w:rsidRDefault="0083678F" w:rsidP="0083678F">
      <w:r>
        <w:separator/>
      </w:r>
    </w:p>
  </w:endnote>
  <w:endnote w:type="continuationSeparator" w:id="0">
    <w:p w:rsidR="0083678F" w:rsidRDefault="0083678F" w:rsidP="0083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8F" w:rsidRDefault="0083678F" w:rsidP="0083678F">
      <w:r>
        <w:separator/>
      </w:r>
    </w:p>
  </w:footnote>
  <w:footnote w:type="continuationSeparator" w:id="0">
    <w:p w:rsidR="0083678F" w:rsidRDefault="0083678F" w:rsidP="0083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78F" w:rsidRDefault="0083678F">
    <w:pPr>
      <w:pStyle w:val="Encabezado"/>
    </w:pPr>
    <w:r w:rsidRPr="006202A9">
      <w:rPr>
        <w:noProof/>
      </w:rPr>
      <w:drawing>
        <wp:inline distT="0" distB="0" distL="0" distR="0" wp14:anchorId="7638091F" wp14:editId="5EC2D4C5">
          <wp:extent cx="5400040" cy="450891"/>
          <wp:effectExtent l="0" t="0" r="0" b="635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78F" w:rsidRDefault="008367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8F"/>
    <w:rsid w:val="00033800"/>
    <w:rsid w:val="0083678F"/>
    <w:rsid w:val="00905C3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CDEA"/>
  <w15:chartTrackingRefBased/>
  <w15:docId w15:val="{D4FB47E9-C5C8-4CC8-9425-018B9CE9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78F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83678F"/>
    <w:pPr>
      <w:jc w:val="both"/>
    </w:pPr>
    <w:rPr>
      <w:rFonts w:ascii="Times New Roman" w:hAnsi="Times New Roman"/>
      <w:color w:val="auto"/>
    </w:rPr>
  </w:style>
  <w:style w:type="character" w:customStyle="1" w:styleId="EstndarCar">
    <w:name w:val="Estándar Car"/>
    <w:link w:val="Estndar"/>
    <w:rsid w:val="0083678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3678F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83678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67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78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67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78F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2026-06-02T06:58:00Z</dcterms:created>
  <dcterms:modified xsi:type="dcterms:W3CDTF">2026-06-02T06:58:00Z</dcterms:modified>
</cp:coreProperties>
</file>