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FF" w:rsidRDefault="00D744FF" w:rsidP="00D744FF">
      <w:pPr>
        <w:jc w:val="both"/>
        <w:rPr>
          <w:rFonts w:ascii="Arial" w:hAnsi="Arial" w:cs="Arial"/>
          <w:szCs w:val="24"/>
          <w:lang w:eastAsia="ca-ES"/>
        </w:rPr>
      </w:pPr>
    </w:p>
    <w:p w:rsidR="006B5C6A" w:rsidRDefault="006B5C6A" w:rsidP="00D744FF">
      <w:pPr>
        <w:jc w:val="both"/>
        <w:rPr>
          <w:rFonts w:ascii="Arial" w:hAnsi="Arial" w:cs="Arial"/>
          <w:szCs w:val="24"/>
          <w:lang w:eastAsia="ca-ES"/>
        </w:rPr>
      </w:pPr>
    </w:p>
    <w:p w:rsidR="00D744FF" w:rsidRPr="00F55A14" w:rsidRDefault="00D744FF" w:rsidP="00D744F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D744FF" w:rsidRDefault="00D744FF" w:rsidP="00D744F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744FF" w:rsidRDefault="00D744FF" w:rsidP="00D744F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744FF" w:rsidRDefault="00D744FF" w:rsidP="00D744F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2025/14379/3084</w:t>
      </w:r>
    </w:p>
    <w:p w:rsidR="00D744FF" w:rsidRDefault="00D744FF" w:rsidP="00D744F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Obres d’adequació de l’entorn de la nova Seu Policial</w:t>
      </w:r>
      <w:r w:rsidRPr="00567B24">
        <w:rPr>
          <w:rFonts w:ascii="Arial" w:eastAsia="Calibri" w:hAnsi="Arial" w:cs="Arial"/>
          <w:szCs w:val="24"/>
          <w:lang w:eastAsia="en-US"/>
        </w:rPr>
        <w:t xml:space="preserve"> d’Esplugues de Llobregat</w:t>
      </w:r>
      <w:r>
        <w:rPr>
          <w:rFonts w:ascii="Arial" w:eastAsia="Calibri" w:hAnsi="Arial" w:cs="Arial"/>
          <w:szCs w:val="24"/>
          <w:lang w:eastAsia="en-US"/>
        </w:rPr>
        <w:t xml:space="preserve">, </w:t>
      </w:r>
      <w:r w:rsidRPr="001D4E74">
        <w:rPr>
          <w:rFonts w:ascii="Arial" w:eastAsia="Calibri" w:hAnsi="Arial" w:cs="Arial"/>
          <w:szCs w:val="24"/>
          <w:lang w:eastAsia="en-US"/>
        </w:rPr>
        <w:t xml:space="preserve">cofinançat pel fons europeu de desenvolupament regional (FEDER) de la Unió Europea, en el marc del programa </w:t>
      </w:r>
      <w:proofErr w:type="spellStart"/>
      <w:r w:rsidRPr="001D4E74">
        <w:rPr>
          <w:rFonts w:ascii="Arial" w:eastAsia="Calibri" w:hAnsi="Arial" w:cs="Arial"/>
          <w:szCs w:val="24"/>
          <w:lang w:eastAsia="en-US"/>
        </w:rPr>
        <w:t>pluriregional</w:t>
      </w:r>
      <w:proofErr w:type="spellEnd"/>
      <w:r w:rsidRPr="001D4E74">
        <w:rPr>
          <w:rFonts w:ascii="Arial" w:eastAsia="Calibri" w:hAnsi="Arial" w:cs="Arial"/>
          <w:szCs w:val="24"/>
          <w:lang w:eastAsia="en-US"/>
        </w:rPr>
        <w:t xml:space="preserve"> d’Espanya FEDER 2021-2027 (POPE 21-27)</w:t>
      </w:r>
    </w:p>
    <w:p w:rsidR="00D744FF" w:rsidRPr="00F55A14" w:rsidRDefault="00D744FF" w:rsidP="00D744F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744FF" w:rsidRPr="00F55A14" w:rsidRDefault="00D744FF" w:rsidP="00D744F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D744FF" w:rsidRPr="00F55A14" w:rsidRDefault="00D744FF" w:rsidP="00D744F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744FF" w:rsidRPr="00BA22D2" w:rsidRDefault="00D744FF" w:rsidP="00D744FF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D744FF" w:rsidRPr="00532B1C" w:rsidRDefault="00D744FF" w:rsidP="00D744FF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D744FF" w:rsidRPr="00F55A14" w:rsidRDefault="00D744FF" w:rsidP="00D744FF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D744FF" w:rsidRPr="00F55A14" w:rsidRDefault="00D744FF" w:rsidP="00D744F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D744FF" w:rsidRPr="0028743A" w:rsidRDefault="00D744FF" w:rsidP="00D744F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2F42AA">
        <w:rPr>
          <w:rFonts w:ascii="Arial" w:eastAsia="Calibri" w:hAnsi="Arial" w:cs="Arial"/>
          <w:b/>
          <w:bCs/>
          <w:szCs w:val="24"/>
          <w:lang w:eastAsia="en-US"/>
        </w:rPr>
        <w:t>d’adequació de l’entorn de la nova Seu Policial d’Esplugues de Llobregat</w:t>
      </w:r>
      <w:r w:rsidRPr="00714CD5">
        <w:rPr>
          <w:rFonts w:ascii="Arial" w:eastAsia="Calibri" w:hAnsi="Arial" w:cs="Arial"/>
          <w:b/>
          <w:bCs/>
          <w:szCs w:val="24"/>
          <w:lang w:eastAsia="en-US"/>
        </w:rPr>
        <w:t xml:space="preserve">, cofinançat pel fons europeu de desenvolupament regional (FEDER) de la Unió Europea, en el marc del programa </w:t>
      </w:r>
      <w:proofErr w:type="spellStart"/>
      <w:r w:rsidRPr="00714CD5">
        <w:rPr>
          <w:rFonts w:ascii="Arial" w:eastAsia="Calibri" w:hAnsi="Arial" w:cs="Arial"/>
          <w:b/>
          <w:bCs/>
          <w:szCs w:val="24"/>
          <w:lang w:eastAsia="en-US"/>
        </w:rPr>
        <w:t>pluriregional</w:t>
      </w:r>
      <w:proofErr w:type="spellEnd"/>
      <w:r w:rsidRPr="00714CD5">
        <w:rPr>
          <w:rFonts w:ascii="Arial" w:eastAsia="Calibri" w:hAnsi="Arial" w:cs="Arial"/>
          <w:b/>
          <w:bCs/>
          <w:szCs w:val="24"/>
          <w:lang w:eastAsia="en-US"/>
        </w:rPr>
        <w:t xml:space="preserve"> d’Espanya FEDER 2021-2027 (POPE 21-27)</w:t>
      </w:r>
      <w:r>
        <w:rPr>
          <w:rFonts w:ascii="Arial" w:eastAsia="Calibri" w:hAnsi="Arial" w:cs="Arial"/>
          <w:b/>
          <w:bCs/>
          <w:szCs w:val="24"/>
          <w:lang w:eastAsia="en-US"/>
        </w:rPr>
        <w:t xml:space="preserve"> </w:t>
      </w:r>
      <w:r w:rsidRPr="00F55A14">
        <w:rPr>
          <w:rFonts w:ascii="Arial" w:hAnsi="Arial" w:cs="Arial"/>
          <w:szCs w:val="24"/>
        </w:rPr>
        <w:t>i DECLARA RESPONSABLEMENT:</w:t>
      </w:r>
    </w:p>
    <w:p w:rsidR="00D744FF" w:rsidRPr="00F55A14" w:rsidRDefault="00D744FF" w:rsidP="00D744F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D744FF" w:rsidRPr="00F55A14" w:rsidRDefault="00D744FF" w:rsidP="00D744FF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D744FF" w:rsidRPr="00F55A14" w:rsidTr="00D744F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D744FF" w:rsidRPr="00F55A14" w:rsidTr="00D744F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744FF" w:rsidRPr="00F55A14" w:rsidTr="00D744F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744FF" w:rsidRPr="00F55A14" w:rsidTr="00D744F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744FF" w:rsidRPr="00F55A14" w:rsidTr="00D744F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FF" w:rsidRPr="00F55A14" w:rsidRDefault="00D744FF" w:rsidP="00E96C15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D744FF" w:rsidRDefault="00D744FF" w:rsidP="00D744F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D744FF" w:rsidRDefault="00D744FF" w:rsidP="00D744F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D744FF" w:rsidRDefault="00D744FF" w:rsidP="00D744F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D744FF" w:rsidRPr="00F55A14" w:rsidRDefault="00D744FF" w:rsidP="00D744FF">
      <w:pPr>
        <w:ind w:left="709"/>
        <w:jc w:val="both"/>
        <w:rPr>
          <w:rFonts w:ascii="Arial" w:hAnsi="Arial" w:cs="Arial"/>
          <w:szCs w:val="24"/>
        </w:rPr>
      </w:pPr>
    </w:p>
    <w:p w:rsidR="00D744FF" w:rsidRPr="00455E91" w:rsidRDefault="00D744FF" w:rsidP="00D744FF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D744FF" w:rsidRPr="00455E91" w:rsidRDefault="00D744FF" w:rsidP="00D744FF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D744FF" w:rsidRPr="00E348B0" w:rsidRDefault="00D744FF" w:rsidP="00D744FF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D744FF" w:rsidRDefault="00D744FF" w:rsidP="00D744F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D744FF" w:rsidRPr="007760E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D744FF" w:rsidRPr="007760E4" w:rsidRDefault="00D744FF" w:rsidP="00D744FF">
      <w:pPr>
        <w:pStyle w:val="Prrafodelista"/>
        <w:rPr>
          <w:rFonts w:ascii="Arial" w:hAnsi="Arial" w:cs="Arial"/>
          <w:szCs w:val="24"/>
        </w:rPr>
      </w:pPr>
    </w:p>
    <w:p w:rsidR="00D744FF" w:rsidRPr="007760E4" w:rsidRDefault="00D744FF" w:rsidP="00D744F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D744FF" w:rsidRPr="00F55A14" w:rsidRDefault="00D744FF" w:rsidP="00D744FF">
      <w:pPr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D744FF" w:rsidRPr="00F55A14" w:rsidRDefault="00D744FF" w:rsidP="00D744FF">
      <w:pPr>
        <w:ind w:left="709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D744FF" w:rsidRPr="00F55A14" w:rsidRDefault="00D744FF" w:rsidP="00D744FF">
      <w:pPr>
        <w:ind w:left="709"/>
        <w:jc w:val="both"/>
        <w:rPr>
          <w:rFonts w:ascii="Arial" w:hAnsi="Arial" w:cs="Arial"/>
          <w:szCs w:val="24"/>
        </w:rPr>
      </w:pPr>
    </w:p>
    <w:p w:rsidR="00D744FF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</w:t>
      </w:r>
      <w:r w:rsidRPr="00D744FF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szCs w:val="24"/>
        </w:rPr>
        <w:t xml:space="preserve">establertes i vigents per acreditar que totes les persones que s’adscriguin a </w:t>
      </w:r>
    </w:p>
    <w:p w:rsidR="00D744FF" w:rsidRDefault="00D744FF" w:rsidP="00D744FF">
      <w:pPr>
        <w:pStyle w:val="Prrafodelista"/>
        <w:rPr>
          <w:rFonts w:ascii="Arial" w:hAnsi="Arial" w:cs="Arial"/>
          <w:szCs w:val="24"/>
        </w:rPr>
      </w:pPr>
    </w:p>
    <w:p w:rsidR="00D744FF" w:rsidRDefault="00D744FF" w:rsidP="00D744FF">
      <w:pPr>
        <w:tabs>
          <w:tab w:val="num" w:pos="426"/>
        </w:tabs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D744FF" w:rsidRDefault="00D744FF" w:rsidP="00D744FF">
      <w:pPr>
        <w:tabs>
          <w:tab w:val="num" w:pos="426"/>
        </w:tabs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la realització de dites activitats no han estat condemnades per sentència ferma per algun delicte contra la llibertat i indemnitat sexuals.</w:t>
      </w:r>
    </w:p>
    <w:p w:rsidR="00D744FF" w:rsidRDefault="00D744FF" w:rsidP="00D744FF">
      <w:pPr>
        <w:pStyle w:val="Prrafodelista"/>
        <w:rPr>
          <w:rFonts w:ascii="Arial" w:hAnsi="Arial" w:cs="Arial"/>
          <w:szCs w:val="24"/>
        </w:rPr>
      </w:pPr>
    </w:p>
    <w:p w:rsidR="00D744FF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D744FF" w:rsidRDefault="00D744FF" w:rsidP="00D744FF">
      <w:pPr>
        <w:pStyle w:val="Prrafodelista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D744FF" w:rsidRPr="00F55A14" w:rsidRDefault="00D744FF" w:rsidP="00D744FF">
      <w:pPr>
        <w:ind w:left="709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744FF" w:rsidRPr="00F55A14" w:rsidRDefault="00D744FF" w:rsidP="00D744F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744FF" w:rsidRPr="00F55A14" w:rsidRDefault="00D744FF" w:rsidP="00D744F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744FF" w:rsidRPr="00F55A14" w:rsidRDefault="00D744FF" w:rsidP="00D744F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D744FF" w:rsidRPr="00F55A14" w:rsidRDefault="00D744FF" w:rsidP="00D744F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744FF" w:rsidRPr="00F55A14" w:rsidRDefault="00D744FF" w:rsidP="00D744F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744FF" w:rsidRPr="00F55A14" w:rsidRDefault="00D744FF" w:rsidP="00D744FF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 obligat per normativa</w:t>
      </w:r>
    </w:p>
    <w:p w:rsidR="00D744FF" w:rsidRPr="00F55A14" w:rsidRDefault="00D744FF" w:rsidP="00D744FF">
      <w:pPr>
        <w:ind w:left="1440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D744FF" w:rsidRPr="00F55A14" w:rsidRDefault="00D744FF" w:rsidP="00D744FF">
      <w:pPr>
        <w:ind w:left="1440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D744FF" w:rsidRPr="00F55A14" w:rsidRDefault="00D744FF" w:rsidP="00D744FF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D744FF" w:rsidRPr="00F55A14" w:rsidRDefault="00D744FF" w:rsidP="00D744FF">
      <w:pPr>
        <w:ind w:left="709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D744FF" w:rsidRPr="00F55A14" w:rsidRDefault="00D744FF" w:rsidP="00D744F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D744FF" w:rsidRPr="00F55A14" w:rsidRDefault="00D744FF" w:rsidP="00D744F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D744FF" w:rsidRPr="00F55A14" w:rsidRDefault="00D744FF" w:rsidP="00D744FF">
      <w:pPr>
        <w:ind w:left="284" w:hanging="1135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D744FF" w:rsidRPr="00F55A14" w:rsidRDefault="00D744FF" w:rsidP="00D744F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D744FF" w:rsidRPr="00F55A14" w:rsidRDefault="00D744FF" w:rsidP="00D744F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D744FF" w:rsidRPr="00F55A14" w:rsidRDefault="00D744FF" w:rsidP="00D744F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D744FF" w:rsidRPr="00F55A14" w:rsidRDefault="00D744FF" w:rsidP="00D744FF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D744FF" w:rsidRPr="00F55A14" w:rsidRDefault="00D744FF" w:rsidP="00D744FF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D744FF" w:rsidRPr="00F55A14" w:rsidTr="00E96C15">
        <w:tc>
          <w:tcPr>
            <w:tcW w:w="1810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D744FF" w:rsidRPr="00F55A14" w:rsidTr="00E96C15">
        <w:tc>
          <w:tcPr>
            <w:tcW w:w="1810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D744FF" w:rsidRPr="00F55A14" w:rsidTr="00E96C15">
        <w:tc>
          <w:tcPr>
            <w:tcW w:w="1810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D744FF" w:rsidRPr="00F55A14" w:rsidRDefault="00D744FF" w:rsidP="00E96C15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D744FF" w:rsidRPr="00F55A14" w:rsidRDefault="00D744FF" w:rsidP="00D744FF">
      <w:pPr>
        <w:ind w:left="284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D744FF" w:rsidRPr="00F55A14" w:rsidRDefault="00D744FF" w:rsidP="00D744FF">
      <w:pPr>
        <w:ind w:left="426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D744FF" w:rsidRPr="00F55A14" w:rsidRDefault="00D744FF" w:rsidP="00D744FF">
      <w:pPr>
        <w:ind w:left="426"/>
        <w:jc w:val="both"/>
        <w:rPr>
          <w:rFonts w:ascii="Arial" w:hAnsi="Arial" w:cs="Arial"/>
          <w:szCs w:val="24"/>
        </w:rPr>
      </w:pPr>
    </w:p>
    <w:p w:rsidR="00D744FF" w:rsidRDefault="00D744FF" w:rsidP="00D744FF">
      <w:pPr>
        <w:ind w:left="426"/>
        <w:jc w:val="both"/>
        <w:rPr>
          <w:rFonts w:ascii="Arial" w:hAnsi="Arial" w:cs="Arial"/>
          <w:szCs w:val="24"/>
        </w:rPr>
      </w:pPr>
    </w:p>
    <w:p w:rsidR="00D744FF" w:rsidRDefault="00D744FF" w:rsidP="00D744FF">
      <w:pPr>
        <w:ind w:left="426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D744FF" w:rsidRPr="00F55A14" w:rsidRDefault="00D744FF" w:rsidP="00D744FF">
      <w:pPr>
        <w:ind w:left="709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D744FF" w:rsidRPr="00F55A14" w:rsidRDefault="00D744FF" w:rsidP="00D744F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D744FF" w:rsidRPr="00F55A14" w:rsidRDefault="00D744FF" w:rsidP="00D744F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D744FF" w:rsidRPr="00F55A14" w:rsidRDefault="00D744FF" w:rsidP="00D744FF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D744FF" w:rsidRDefault="00D744FF" w:rsidP="00D744FF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D744FF" w:rsidRPr="00F55A14" w:rsidRDefault="00D744FF" w:rsidP="00D744FF">
      <w:pPr>
        <w:ind w:left="1440"/>
        <w:jc w:val="both"/>
        <w:rPr>
          <w:rFonts w:ascii="Arial" w:hAnsi="Arial" w:cs="Arial"/>
          <w:szCs w:val="24"/>
        </w:rPr>
      </w:pPr>
    </w:p>
    <w:p w:rsidR="00905C36" w:rsidRDefault="00905C36" w:rsidP="00D744FF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4FF" w:rsidRDefault="00D744FF" w:rsidP="00D744FF">
      <w:r>
        <w:separator/>
      </w:r>
    </w:p>
  </w:endnote>
  <w:endnote w:type="continuationSeparator" w:id="0">
    <w:p w:rsidR="00D744FF" w:rsidRDefault="00D744FF" w:rsidP="00D7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4FF" w:rsidRDefault="00D744FF" w:rsidP="00D744FF">
      <w:r>
        <w:separator/>
      </w:r>
    </w:p>
  </w:footnote>
  <w:footnote w:type="continuationSeparator" w:id="0">
    <w:p w:rsidR="00D744FF" w:rsidRDefault="00D744FF" w:rsidP="00D7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FF" w:rsidRPr="00D744FF" w:rsidRDefault="00D744FF" w:rsidP="00D744FF">
    <w:pPr>
      <w:pStyle w:val="Encabezado"/>
    </w:pPr>
    <w:r w:rsidRPr="006202A9">
      <w:rPr>
        <w:noProof/>
      </w:rPr>
      <w:drawing>
        <wp:inline distT="0" distB="0" distL="0" distR="0" wp14:anchorId="00148FDD" wp14:editId="2FDFBACC">
          <wp:extent cx="5400040" cy="450891"/>
          <wp:effectExtent l="0" t="0" r="0" b="635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FF"/>
    <w:rsid w:val="006B5C6A"/>
    <w:rsid w:val="00905C36"/>
    <w:rsid w:val="00D34A33"/>
    <w:rsid w:val="00D7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483A"/>
  <w15:chartTrackingRefBased/>
  <w15:docId w15:val="{D1493DC1-2201-4DED-9779-86DA8DD8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4FF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4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44F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744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4F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744FF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D744F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2026-06-02T06:58:00Z</dcterms:created>
  <dcterms:modified xsi:type="dcterms:W3CDTF">2026-06-02T06:58:00Z</dcterms:modified>
</cp:coreProperties>
</file>