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bidi w:val="0"/>
        <w:ind w:hanging="0" w:left="0"/>
        <w:jc w:val="both"/>
        <w:rPr>
          <w:rFonts w:ascii="Arial" w:hAnsi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SOBRE 2: PROPOSTA TÈCNICA ACREDITATIVA DELS CRITERIS D’ADJUDICACIÓ QUE ES VALORIN MITJANÇANT JUDICI DE VALOR</w:t>
      </w:r>
      <w:r>
        <w:rPr>
          <w:color w:val="2A6099"/>
          <w:sz w:val="22"/>
          <w:szCs w:val="22"/>
        </w:rPr>
        <w:t xml:space="preserve"> </w:t>
      </w:r>
    </w:p>
    <w:p>
      <w:pPr>
        <w:pStyle w:val="Subtitle"/>
        <w:numPr>
          <w:ilvl w:val="0"/>
          <w:numId w:val="1"/>
        </w:numPr>
        <w:spacing w:lineRule="auto" w:line="276" w:before="57" w:after="57"/>
        <w:rPr>
          <w:sz w:val="22"/>
          <w:szCs w:val="22"/>
        </w:rPr>
      </w:pPr>
      <w:r>
        <w:rPr>
          <w:i w:val="false"/>
          <w:iCs w:val="false"/>
          <w:sz w:val="22"/>
          <w:szCs w:val="22"/>
        </w:rPr>
        <w:t>En el sobre número 2, el licitador presentarà la següent documentació:</w:t>
      </w:r>
    </w:p>
    <w:p>
      <w:pPr>
        <w:pStyle w:val="Textbody"/>
        <w:numPr>
          <w:ilvl w:val="0"/>
          <w:numId w:val="1"/>
        </w:numPr>
        <w:spacing w:before="57" w:after="57"/>
        <w:ind w:hanging="57"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>1) Relació numerada de la documentació inclosa</w:t>
      </w:r>
    </w:p>
    <w:p>
      <w:pPr>
        <w:pStyle w:val="Textbody"/>
        <w:numPr>
          <w:ilvl w:val="0"/>
          <w:numId w:val="1"/>
        </w:numPr>
        <w:spacing w:before="57" w:after="57"/>
        <w:ind w:hanging="57"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>2) Documents que acreditin les circumstàncies a tenir en compte en la valoració de la proposta segons els criteris d’adjudicació d’aquesta licitació que depenguin d'un judici de valor a tenir en compte, seguint el mateix ordre de conformitat amb la clàusula V del present Plec.</w:t>
      </w:r>
    </w:p>
    <w:p>
      <w:pPr>
        <w:pStyle w:val="Textbody"/>
        <w:numPr>
          <w:ilvl w:val="0"/>
          <w:numId w:val="1"/>
        </w:numPr>
        <w:spacing w:before="57" w:after="57"/>
        <w:ind w:hanging="57"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3) Tota aquella documentació que el licitador consideri necessari incloure.</w:t>
      </w:r>
    </w:p>
    <w:p>
      <w:pPr>
        <w:pStyle w:val="Standard"/>
        <w:spacing w:lineRule="auto" w:line="276" w:before="57" w:after="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Es presentarà en la forma especificada en la clàusula V i portarà la menció: </w:t>
      </w:r>
      <w:r>
        <w:rPr>
          <w:rFonts w:eastAsia="Arial" w:cs="Arial"/>
          <w:b/>
          <w:bCs/>
          <w:i/>
          <w:iCs/>
          <w:color w:val="000000"/>
          <w:sz w:val="22"/>
          <w:szCs w:val="22"/>
        </w:rPr>
        <w:t>«Exp. 20.../...: P</w:t>
      </w:r>
      <w:r>
        <w:rPr>
          <w:rFonts w:eastAsia="Arial" w:cs="Arial"/>
          <w:b/>
          <w:bCs/>
          <w:i/>
          <w:iCs/>
          <w:sz w:val="22"/>
          <w:szCs w:val="22"/>
        </w:rPr>
        <w:t>roposta tècnica acreditativa dels criteris d'adjudicació que depenguin de judici de valor per participar en el contracte de serveis</w:t>
      </w:r>
      <w:r>
        <w:rPr>
          <w:rFonts w:eastAsia="Arial" w:cs="Arial"/>
          <w:b/>
          <w:bCs/>
          <w:i/>
          <w:iCs/>
          <w:color w:val="000000"/>
          <w:sz w:val="22"/>
          <w:szCs w:val="22"/>
        </w:rPr>
        <w:t xml:space="preserve"> ................................. , presentada per ................................."</w:t>
      </w:r>
    </w:p>
    <w:p>
      <w:pPr>
        <w:pStyle w:val="Standard"/>
        <w:spacing w:lineRule="auto" w:line="276" w:before="57" w:after="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Standard"/>
        <w:spacing w:lineRule="auto" w:line="276" w:before="57" w:after="57"/>
        <w:jc w:val="both"/>
        <w:rPr/>
      </w:pPr>
      <w:r>
        <w:rPr>
          <w:sz w:val="22"/>
          <w:szCs w:val="22"/>
        </w:rPr>
        <w:t>Els documents tècnics no podran excedir quinze (15) pàgines DIN-A4 impreses a una sola cara, amb tipus de lletra Arial 11 i interlineat 1,15. La portada i l'índex es computen dins d'aquest límit.</w:t>
      </w:r>
    </w:p>
    <w:p>
      <w:pPr>
        <w:pStyle w:val="Standard"/>
        <w:spacing w:lineRule="auto" w:line="276" w:before="57" w:after="57"/>
        <w:jc w:val="both"/>
        <w:rPr>
          <w:rStyle w:val="Fuentedeprrafopredeter"/>
          <w:rFonts w:ascii="Arial" w:hAnsi="Arial"/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Contenidodelatabla"/>
        <w:widowControl w:val="false"/>
        <w:bidi w:val="0"/>
        <w:spacing w:lineRule="auto" w:line="276" w:before="57" w:after="57"/>
        <w:jc w:val="both"/>
        <w:rPr/>
      </w:pPr>
      <w:r>
        <w:rPr>
          <w:rStyle w:val="Fuentedeprrafopredeter"/>
          <w:b/>
          <w:bCs/>
          <w:sz w:val="21"/>
          <w:szCs w:val="22"/>
          <w:shd w:fill="auto" w:val="clear"/>
        </w:rPr>
        <w:t xml:space="preserve">Els criteris d’adjudicació valorables mitjançant judici de valor són els següents (fins a 49 punts): </w:t>
      </w:r>
      <w:r>
        <w:rPr>
          <w:rStyle w:val="Strong"/>
          <w:rFonts w:eastAsia="NSimSun" w:cs="Arial"/>
          <w:b w:val="false"/>
          <w:b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  <w:t xml:space="preserve">La valoració dels criteris subjectes a judici de valor es realitzarà sobre la base dels documents tècnics que han de presentar les empreses licitadores, segons el contingut, estructura i requisits establerts a la </w:t>
      </w:r>
      <w:r>
        <w:rPr>
          <w:rStyle w:val="Strong"/>
          <w:rFonts w:eastAsia="NSimSun" w:cs="Arial"/>
          <w:b/>
          <w:bCs/>
          <w:color w:val="000000"/>
          <w:kern w:val="2"/>
          <w:sz w:val="21"/>
          <w:szCs w:val="21"/>
          <w:u w:val="single"/>
          <w:shd w:fill="auto" w:val="clear"/>
          <w:lang w:val="ca-ES" w:eastAsia="zh-CN" w:bidi="hi-IN"/>
        </w:rPr>
        <w:t>clàusula 19 del Plec de Prescripcions Tècniques.</w:t>
      </w:r>
    </w:p>
    <w:p>
      <w:pPr>
        <w:pStyle w:val="Normal"/>
        <w:widowControl w:val="false"/>
        <w:bidi w:val="0"/>
        <w:spacing w:before="0" w:after="140"/>
        <w:jc w:val="both"/>
        <w:rPr>
          <w:rStyle w:val="Fuentedeprrafopredeter"/>
          <w:rFonts w:ascii="Arial" w:hAnsi="Arial"/>
          <w:b/>
          <w:bCs/>
          <w:i w:val="false"/>
          <w:iCs w:val="false"/>
          <w:sz w:val="21"/>
          <w:szCs w:val="21"/>
          <w:shd w:fill="auto" w:val="clear"/>
        </w:rPr>
      </w:pPr>
      <w:r>
        <w:rPr>
          <w:rFonts w:ascii="Arial" w:hAnsi="Arial"/>
          <w:b/>
          <w:bCs/>
          <w:i w:val="false"/>
          <w:iCs w:val="false"/>
          <w:sz w:val="21"/>
          <w:szCs w:val="21"/>
          <w:shd w:fill="auto" w:val="clear"/>
        </w:rPr>
      </w:r>
    </w:p>
    <w:p>
      <w:pPr>
        <w:pStyle w:val="Normal"/>
        <w:widowControl w:val="false"/>
        <w:bidi w:val="0"/>
        <w:spacing w:before="0" w:after="140"/>
        <w:jc w:val="both"/>
        <w:rPr/>
      </w:pPr>
      <w:r>
        <w:rPr>
          <w:rStyle w:val="Fuentedeprrafopredeter"/>
          <w:rFonts w:ascii="Arial" w:hAnsi="Arial"/>
          <w:b/>
          <w:bCs/>
          <w:i w:val="false"/>
          <w:iCs w:val="false"/>
          <w:sz w:val="21"/>
          <w:szCs w:val="21"/>
          <w:shd w:fill="auto" w:val="clear"/>
        </w:rPr>
        <w:t xml:space="preserve">A) </w:t>
      </w:r>
      <w:r>
        <w:rPr>
          <w:rStyle w:val="Fuentedeprrafopredeter"/>
          <w:rFonts w:eastAsia="NSimSun" w:cs="Arial" w:ascii="Arial" w:hAnsi="Arial"/>
          <w:b/>
          <w:bCs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  <w:t xml:space="preserve">Disseny d'un Projecte de Gestió i millora dels  Programes de polítiques integrals de Joventut </w:t>
      </w:r>
      <w:r>
        <w:rPr>
          <w:rStyle w:val="Fuentedeprrafopredeter"/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  <w:lang w:val="ca-ES" w:eastAsia="zh-CN" w:bidi="hi-IN"/>
        </w:rPr>
        <w:t>(Doc.1)</w:t>
      </w:r>
      <w:r>
        <w:rPr>
          <w:rStyle w:val="Fuentedeprrafopredeter"/>
          <w:rFonts w:eastAsia="NSimSun" w:cs="Arial" w:ascii="Arial" w:hAnsi="Arial"/>
          <w:b/>
          <w:bCs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  <w:t xml:space="preserve"> (</w:t>
      </w:r>
      <w:r>
        <w:rPr>
          <w:rStyle w:val="Strong"/>
          <w:rFonts w:eastAsia="NSimSun" w:cs="Arial" w:ascii="Arial" w:hAnsi="Arial"/>
          <w:b/>
          <w:bCs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  <w:t>Fins a 20 punts)</w:t>
      </w:r>
    </w:p>
    <w:tbl>
      <w:tblPr>
        <w:tblW w:w="9360" w:type="dxa"/>
        <w:jc w:val="left"/>
        <w:tblInd w:w="147" w:type="dxa"/>
        <w:tblLayout w:type="fixed"/>
        <w:tblCellMar>
          <w:top w:w="100" w:type="dxa"/>
          <w:left w:w="140" w:type="dxa"/>
          <w:bottom w:w="100" w:type="dxa"/>
          <w:right w:w="140" w:type="dxa"/>
        </w:tblCellMar>
      </w:tblPr>
      <w:tblGrid>
        <w:gridCol w:w="900"/>
        <w:gridCol w:w="6953"/>
        <w:gridCol w:w="1507"/>
      </w:tblGrid>
      <w:tr>
        <w:trPr>
          <w:tblHeader w:val="true"/>
        </w:trPr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Codi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Subcriteri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Punts màx.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A.1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Qualitat tècnica i coherència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A.2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Viabilitat i adequació de recursos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A.3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Metodologia i sistemes de seguiment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A.4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Adaptació, innovació i millores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A.5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Millores proposades en execució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Document 1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bidi w:val="0"/>
        <w:spacing w:before="0" w:after="140"/>
        <w:jc w:val="both"/>
        <w:rPr/>
      </w:pPr>
      <w:r>
        <w:rPr>
          <w:rStyle w:val="Fuentedeprrafopredeter"/>
          <w:rFonts w:eastAsia="NSimSun" w:cs="Arial" w:ascii="Arial" w:hAnsi="Arial"/>
          <w:b/>
          <w:bCs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  <w:t xml:space="preserve">B) Proposta tècnica per a la creació d’un òrgan de participació juvenil i disseny d’un projecte sociocultural </w:t>
      </w:r>
      <w:r>
        <w:rPr>
          <w:rStyle w:val="Fuentedeprrafopredeter"/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  <w:lang w:val="ca-ES" w:eastAsia="zh-CN" w:bidi="hi-IN"/>
        </w:rPr>
        <w:t>(Doc.2)</w:t>
      </w:r>
      <w:r>
        <w:rPr>
          <w:rStyle w:val="Fuentedeprrafopredeter"/>
          <w:rFonts w:eastAsia="NSimSun" w:cs="Arial" w:ascii="Arial" w:hAnsi="Arial"/>
          <w:b/>
          <w:bCs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  <w:t xml:space="preserve"> (</w:t>
      </w:r>
      <w:r>
        <w:rPr>
          <w:rStyle w:val="Strong"/>
          <w:rFonts w:eastAsia="NSimSun" w:cs="Arial" w:ascii="Arial" w:hAnsi="Arial"/>
          <w:b/>
          <w:bCs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  <w:t>Fins a 15 punts)</w:t>
      </w:r>
    </w:p>
    <w:tbl>
      <w:tblPr>
        <w:tblW w:w="9360" w:type="dxa"/>
        <w:jc w:val="left"/>
        <w:tblInd w:w="147" w:type="dxa"/>
        <w:tblLayout w:type="fixed"/>
        <w:tblCellMar>
          <w:top w:w="100" w:type="dxa"/>
          <w:left w:w="140" w:type="dxa"/>
          <w:bottom w:w="100" w:type="dxa"/>
          <w:right w:w="140" w:type="dxa"/>
        </w:tblCellMar>
      </w:tblPr>
      <w:tblGrid>
        <w:gridCol w:w="900"/>
        <w:gridCol w:w="6953"/>
        <w:gridCol w:w="1507"/>
      </w:tblGrid>
      <w:tr>
        <w:trPr>
          <w:tblHeader w:val="true"/>
        </w:trPr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Codi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Subcriteri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Punts màx.</w:t>
            </w:r>
          </w:p>
        </w:tc>
      </w:tr>
      <w:tr>
        <w:trPr/>
        <w:tc>
          <w:tcPr>
            <w:tcW w:w="900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B.1</w:t>
            </w:r>
          </w:p>
        </w:tc>
        <w:tc>
          <w:tcPr>
            <w:tcW w:w="6953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Definició d'objectius i finalitat</w:t>
            </w:r>
          </w:p>
        </w:tc>
        <w:tc>
          <w:tcPr>
            <w:tcW w:w="150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00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B.2</w:t>
            </w:r>
          </w:p>
        </w:tc>
        <w:tc>
          <w:tcPr>
            <w:tcW w:w="6953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Disseny del procés participatiu</w:t>
            </w:r>
          </w:p>
        </w:tc>
        <w:tc>
          <w:tcPr>
            <w:tcW w:w="150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00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B.3</w:t>
            </w:r>
          </w:p>
        </w:tc>
        <w:tc>
          <w:tcPr>
            <w:tcW w:w="6953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Estratègies d'implementació i dinamització</w:t>
            </w:r>
          </w:p>
        </w:tc>
        <w:tc>
          <w:tcPr>
            <w:tcW w:w="150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00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B.4</w:t>
            </w:r>
          </w:p>
        </w:tc>
        <w:tc>
          <w:tcPr>
            <w:tcW w:w="6953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Foment de la participació activa i empoderada</w:t>
            </w:r>
          </w:p>
        </w:tc>
        <w:tc>
          <w:tcPr>
            <w:tcW w:w="150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00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B.5</w:t>
            </w:r>
          </w:p>
        </w:tc>
        <w:tc>
          <w:tcPr>
            <w:tcW w:w="6953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Interès i adequació al públic jove</w:t>
            </w:r>
          </w:p>
        </w:tc>
        <w:tc>
          <w:tcPr>
            <w:tcW w:w="150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0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6953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Document 2</w:t>
            </w:r>
          </w:p>
        </w:tc>
        <w:tc>
          <w:tcPr>
            <w:tcW w:w="150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15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bidi w:val="0"/>
        <w:spacing w:before="0" w:after="140"/>
        <w:jc w:val="both"/>
        <w:rPr>
          <w:rStyle w:val="Fuentedeprrafopredeter"/>
          <w:rFonts w:ascii="Arial" w:hAnsi="Arial" w:cs="Arial"/>
          <w:b/>
          <w:bCs/>
          <w:i w:val="false"/>
          <w:iCs w:val="false"/>
          <w:color w:val="000000"/>
          <w:sz w:val="21"/>
          <w:szCs w:val="21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1"/>
          <w:szCs w:val="21"/>
          <w:shd w:fill="auto" w:val="clear"/>
        </w:rPr>
      </w:r>
    </w:p>
    <w:p>
      <w:pPr>
        <w:pStyle w:val="Normal"/>
        <w:widowControl w:val="false"/>
        <w:bidi w:val="0"/>
        <w:spacing w:before="0" w:after="140"/>
        <w:jc w:val="both"/>
        <w:rPr/>
      </w:pPr>
      <w:r>
        <w:rPr>
          <w:rStyle w:val="Fuentedeprrafopredeter"/>
          <w:rFonts w:cs="Arial" w:ascii="Arial" w:hAnsi="Arial"/>
          <w:b/>
          <w:bCs/>
          <w:i w:val="false"/>
          <w:iCs w:val="false"/>
          <w:color w:val="000000"/>
          <w:sz w:val="21"/>
          <w:szCs w:val="21"/>
          <w:shd w:fill="auto" w:val="clear"/>
        </w:rPr>
        <w:t xml:space="preserve">C) Proposta de millora de la comunicació del Servei de Joventut </w:t>
      </w:r>
      <w:r>
        <w:rPr>
          <w:rStyle w:val="Fuentedeprrafopredeter"/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  <w:lang w:val="ca-ES" w:eastAsia="zh-CN" w:bidi="hi-IN"/>
        </w:rPr>
        <w:t xml:space="preserve">(Doc.3) </w:t>
      </w:r>
      <w:r>
        <w:rPr>
          <w:rStyle w:val="Fuentedeprrafopredeter"/>
          <w:rFonts w:eastAsia="NSimSun" w:cs="Arial" w:ascii="Arial" w:hAnsi="Arial"/>
          <w:b/>
          <w:bCs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  <w:t>(</w:t>
      </w:r>
      <w:r>
        <w:rPr>
          <w:rStyle w:val="Strong"/>
          <w:rFonts w:eastAsia="NSimSun" w:cs="Arial" w:ascii="Arial" w:hAnsi="Arial"/>
          <w:b/>
          <w:bCs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  <w:t>Fins a 14 punts)</w:t>
      </w:r>
    </w:p>
    <w:tbl>
      <w:tblPr>
        <w:tblW w:w="9360" w:type="dxa"/>
        <w:jc w:val="left"/>
        <w:tblInd w:w="147" w:type="dxa"/>
        <w:tblLayout w:type="fixed"/>
        <w:tblCellMar>
          <w:top w:w="100" w:type="dxa"/>
          <w:left w:w="140" w:type="dxa"/>
          <w:bottom w:w="100" w:type="dxa"/>
          <w:right w:w="140" w:type="dxa"/>
        </w:tblCellMar>
      </w:tblPr>
      <w:tblGrid>
        <w:gridCol w:w="900"/>
        <w:gridCol w:w="6953"/>
        <w:gridCol w:w="1507"/>
      </w:tblGrid>
      <w:tr>
        <w:trPr>
          <w:tblHeader w:val="true"/>
        </w:trPr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Codi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Subcriteri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Punts màx.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C.1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Qualitat tècnica i coherència global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C.2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Viabilitat i capacitat d'implementació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C.3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Adequació als canals existents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C.4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Innovació i millora en la difusió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C.5</w:t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Impacte previst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6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Document 3</w:t>
            </w:r>
          </w:p>
        </w:tc>
        <w:tc>
          <w:tcPr>
            <w:tcW w:w="15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14</w:t>
            </w:r>
          </w:p>
        </w:tc>
      </w:tr>
    </w:tbl>
    <w:p>
      <w:pPr>
        <w:pStyle w:val="Normal"/>
        <w:bidi w:val="0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b/>
        <w:color w:val="auto"/>
        <w:sz w:val="20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Fuentedeprrafopredeter">
    <w:name w:val="Fuente de párrafo predeter.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Ttulo">
    <w:name w:val="Título"/>
    <w:next w:val="Textbody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ca-ES" w:eastAsia="zh-CN" w:bidi="hi-IN"/>
    </w:rPr>
  </w:style>
  <w:style w:type="paragraph" w:styleId="Subtitle">
    <w:name w:val="Subtitle"/>
    <w:basedOn w:val="Ttulo"/>
    <w:next w:val="Textbody"/>
    <w:qFormat/>
    <w:pPr>
      <w:jc w:val="both"/>
    </w:pPr>
    <w:rPr>
      <w:rFonts w:ascii="Arial" w:hAnsi="Arial" w:eastAsia="Arial" w:cs="Arial"/>
      <w:i/>
      <w:iCs/>
    </w:rPr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396</Words>
  <Characters>2148</Characters>
  <CharactersWithSpaces>2475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2026-05-28T13:24:39Z</dcterms:created>
  <dc:creator/>
  <dc:description/>
  <dc:language>es-ES</dc:language>
  <cp:lastModifiedBy/>
  <dcterms:modified xsi:type="dcterms:W3CDTF">2026-05-28T13:25:04Z</dcterms:modified>
  <cp:revision>1</cp:revision>
  <dc:subject/>
  <dc:title/>
</cp:coreProperties>
</file>