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A23B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Calibri" w:cs="Noto Sans"/>
          <w:b/>
          <w:bCs/>
          <w:sz w:val="20"/>
          <w:szCs w:val="20"/>
          <w:lang w:eastAsia="zh-CN"/>
        </w:rPr>
        <w:t xml:space="preserve">ANNEX 3 - </w:t>
      </w:r>
      <w:r w:rsidRPr="00B42C63">
        <w:rPr>
          <w:rFonts w:eastAsia="Symbol" w:cs="Noto Sans"/>
          <w:b/>
          <w:sz w:val="20"/>
          <w:szCs w:val="20"/>
          <w:lang w:eastAsia="zh-CN"/>
        </w:rPr>
        <w:t>DECLARACIÓ RESPONSABLE DE NO PERJUDICI SIGNIFICATIU AL MEDI AMBIENT</w:t>
      </w:r>
    </w:p>
    <w:p w14:paraId="329F6B48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</w:p>
    <w:p w14:paraId="28E36553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LOT................</w:t>
      </w:r>
    </w:p>
    <w:p w14:paraId="36B2F586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0A81DD64" w14:textId="3B019EA9" w:rsidR="0006628E" w:rsidRPr="008A73F7" w:rsidRDefault="0006628E" w:rsidP="0006628E">
      <w:pPr>
        <w:suppressAutoHyphens/>
        <w:spacing w:line="256" w:lineRule="auto"/>
        <w:rPr>
          <w:rFonts w:eastAsia="Calibri" w:cs="Aptos"/>
          <w:sz w:val="20"/>
          <w:szCs w:val="20"/>
          <w:lang w:eastAsia="zh-CN"/>
        </w:rPr>
      </w:pPr>
      <w:r w:rsidRPr="008A73F7">
        <w:rPr>
          <w:rFonts w:eastAsia="Calibri" w:cs="Aptos"/>
          <w:b/>
          <w:bCs/>
          <w:sz w:val="20"/>
          <w:szCs w:val="20"/>
          <w:lang w:eastAsia="zh-CN"/>
        </w:rPr>
        <w:t xml:space="preserve">Expedient de contractació núm.: </w:t>
      </w:r>
      <w:r w:rsidR="002072D2" w:rsidRPr="002072D2">
        <w:rPr>
          <w:sz w:val="20"/>
          <w:szCs w:val="20"/>
        </w:rPr>
        <w:t>2026/1825</w:t>
      </w:r>
    </w:p>
    <w:p w14:paraId="3316F249" w14:textId="77777777" w:rsidR="0006628E" w:rsidRPr="008A73F7" w:rsidRDefault="0006628E" w:rsidP="0006628E">
      <w:pPr>
        <w:suppressAutoHyphens/>
        <w:spacing w:line="256" w:lineRule="auto"/>
        <w:rPr>
          <w:rFonts w:eastAsia="Calibri" w:cs="Aptos"/>
          <w:b/>
          <w:bCs/>
          <w:sz w:val="20"/>
          <w:szCs w:val="20"/>
          <w:lang w:eastAsia="zh-CN"/>
        </w:rPr>
      </w:pPr>
    </w:p>
    <w:p w14:paraId="1259B3C3" w14:textId="77777777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242D68">
        <w:rPr>
          <w:b/>
          <w:bCs/>
          <w:sz w:val="20"/>
          <w:szCs w:val="20"/>
        </w:rPr>
        <w:t>Contracte:</w:t>
      </w:r>
      <w:r w:rsidRPr="00242D68">
        <w:rPr>
          <w:sz w:val="20"/>
          <w:szCs w:val="20"/>
        </w:rPr>
        <w:t xml:space="preserve"> Contracte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16520022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62DBC5FB" w14:textId="77777777" w:rsidR="0006628E" w:rsidRDefault="0006628E" w:rsidP="0006628E">
      <w:pPr>
        <w:spacing w:line="276" w:lineRule="auto"/>
        <w:rPr>
          <w:sz w:val="20"/>
          <w:szCs w:val="20"/>
        </w:rPr>
      </w:pPr>
      <w:r w:rsidRPr="00F76B5D">
        <w:rPr>
          <w:b/>
          <w:bCs/>
          <w:sz w:val="20"/>
          <w:szCs w:val="20"/>
        </w:rPr>
        <w:t>Subvenció</w:t>
      </w:r>
      <w:r>
        <w:rPr>
          <w:sz w:val="20"/>
          <w:szCs w:val="20"/>
        </w:rPr>
        <w:t xml:space="preserve"> : R</w:t>
      </w:r>
      <w:r w:rsidRPr="00F76B5D">
        <w:rPr>
          <w:sz w:val="20"/>
          <w:szCs w:val="20"/>
        </w:rPr>
        <w:t xml:space="preserve">ecursos provinents del </w:t>
      </w:r>
      <w:proofErr w:type="spellStart"/>
      <w:r w:rsidRPr="00F76B5D">
        <w:rPr>
          <w:sz w:val="20"/>
          <w:szCs w:val="20"/>
        </w:rPr>
        <w:t>PRTR</w:t>
      </w:r>
      <w:proofErr w:type="spellEnd"/>
      <w:r w:rsidRPr="00F76B5D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F76B5D">
        <w:rPr>
          <w:bCs/>
          <w:sz w:val="20"/>
          <w:szCs w:val="20"/>
        </w:rPr>
        <w:t>5 “Preservació del litoral i recursos hídrics”</w:t>
      </w:r>
      <w:r w:rsidRPr="00F76B5D">
        <w:rPr>
          <w:sz w:val="20"/>
          <w:szCs w:val="20"/>
        </w:rPr>
        <w:t>. inversió 3 “Transició digital en el sector de l’aigua”,</w:t>
      </w:r>
    </w:p>
    <w:p w14:paraId="24471FC7" w14:textId="77777777" w:rsidR="0006628E" w:rsidRDefault="0006628E" w:rsidP="0006628E">
      <w:pPr>
        <w:spacing w:line="276" w:lineRule="auto"/>
        <w:rPr>
          <w:sz w:val="20"/>
          <w:szCs w:val="20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6628E" w:rsidRPr="00F90A23" w14:paraId="6A3166EC" w14:textId="77777777" w:rsidTr="00E6601F">
        <w:tc>
          <w:tcPr>
            <w:tcW w:w="9634" w:type="dxa"/>
            <w:gridSpan w:val="2"/>
          </w:tcPr>
          <w:p w14:paraId="579AD6DB" w14:textId="77777777" w:rsidR="0006628E" w:rsidRPr="00F90A23" w:rsidRDefault="0006628E" w:rsidP="00E6601F">
            <w:pPr>
              <w:rPr>
                <w:rFonts w:cstheme="minorHAnsi"/>
                <w:b/>
                <w:sz w:val="20"/>
                <w:szCs w:val="20"/>
              </w:rPr>
            </w:pPr>
            <w:r w:rsidRPr="00F90A23">
              <w:rPr>
                <w:rFonts w:cstheme="minorHAnsi"/>
                <w:b/>
                <w:sz w:val="20"/>
                <w:szCs w:val="20"/>
              </w:rPr>
              <w:t>Informació sobre el projecte al Pla de Recuperació, Transformació i Resiliència (</w:t>
            </w:r>
            <w:proofErr w:type="spellStart"/>
            <w:r w:rsidRPr="00F90A23">
              <w:rPr>
                <w:rFonts w:cstheme="minorHAnsi"/>
                <w:b/>
                <w:sz w:val="20"/>
                <w:szCs w:val="20"/>
              </w:rPr>
              <w:t>PRTR</w:t>
            </w:r>
            <w:proofErr w:type="spellEnd"/>
            <w:r w:rsidRPr="00F90A2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06628E" w:rsidRPr="00F90A23" w14:paraId="3DB7A3E7" w14:textId="77777777" w:rsidTr="00E6601F">
        <w:tc>
          <w:tcPr>
            <w:tcW w:w="2405" w:type="dxa"/>
            <w:vAlign w:val="center"/>
          </w:tcPr>
          <w:p w14:paraId="04466400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theme="minorHAnsi"/>
                <w:sz w:val="20"/>
                <w:szCs w:val="20"/>
              </w:rPr>
              <w:t xml:space="preserve">Projecte </w:t>
            </w:r>
            <w:proofErr w:type="spellStart"/>
            <w:r w:rsidRPr="00F90A23">
              <w:rPr>
                <w:rFonts w:cstheme="minorHAnsi"/>
                <w:sz w:val="20"/>
                <w:szCs w:val="20"/>
              </w:rPr>
              <w:t>PRTR</w:t>
            </w:r>
            <w:proofErr w:type="spellEnd"/>
          </w:p>
        </w:tc>
        <w:tc>
          <w:tcPr>
            <w:tcW w:w="7229" w:type="dxa"/>
          </w:tcPr>
          <w:p w14:paraId="1B76F592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Projecte estratègic per a la recuperació i transformació econòmica (</w:t>
            </w:r>
            <w:proofErr w:type="spellStart"/>
            <w:r w:rsidRPr="00F90A2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PERTE</w:t>
            </w:r>
            <w:proofErr w:type="spellEnd"/>
            <w:r w:rsidRPr="00F90A2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) de digitalització del cicle de l’aigua, aprovat el 22 de març de 2022 pel Consell de Ministres i prorrogat per Addenda del  6 de juny de 2023, aprovada per la Comissió Europea el 2 d’octubre de 2023.</w:t>
            </w:r>
          </w:p>
        </w:tc>
      </w:tr>
      <w:tr w:rsidR="0006628E" w:rsidRPr="00F90A23" w14:paraId="5C9A6E1C" w14:textId="77777777" w:rsidTr="00E6601F">
        <w:tc>
          <w:tcPr>
            <w:tcW w:w="2405" w:type="dxa"/>
          </w:tcPr>
          <w:p w14:paraId="4917A1CB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90A23">
              <w:rPr>
                <w:rFonts w:cstheme="minorHAnsi"/>
                <w:sz w:val="20"/>
                <w:szCs w:val="20"/>
              </w:rPr>
              <w:t>Subprojecte</w:t>
            </w:r>
            <w:proofErr w:type="spellEnd"/>
          </w:p>
        </w:tc>
        <w:tc>
          <w:tcPr>
            <w:tcW w:w="7229" w:type="dxa"/>
          </w:tcPr>
          <w:p w14:paraId="2AA6D086" w14:textId="77777777" w:rsidR="0006628E" w:rsidRPr="00F90A23" w:rsidRDefault="0006628E" w:rsidP="00E660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="CIDFont+F2"/>
                <w:sz w:val="20"/>
                <w:szCs w:val="20"/>
              </w:rPr>
              <w:t xml:space="preserve">Segon repartiment </w:t>
            </w:r>
            <w:proofErr w:type="spellStart"/>
            <w:r w:rsidRPr="00F90A23">
              <w:rPr>
                <w:rFonts w:cs="CIDFont+F2"/>
                <w:sz w:val="20"/>
                <w:szCs w:val="20"/>
              </w:rPr>
              <w:t>PERTE</w:t>
            </w:r>
            <w:proofErr w:type="spellEnd"/>
            <w:r w:rsidRPr="00F90A23">
              <w:rPr>
                <w:rFonts w:cs="CIDFont+F2"/>
                <w:sz w:val="20"/>
                <w:szCs w:val="20"/>
              </w:rPr>
              <w:t xml:space="preserve"> de digitalització del cicle de l’aigua en la comunitat autònoma de Catalunya, Objectiu B (Conferència Sectorial de 24 de juliol de 2024)</w:t>
            </w:r>
          </w:p>
        </w:tc>
      </w:tr>
      <w:tr w:rsidR="0006628E" w:rsidRPr="00F90A23" w14:paraId="095FFFCC" w14:textId="77777777" w:rsidTr="00E6601F">
        <w:tc>
          <w:tcPr>
            <w:tcW w:w="2405" w:type="dxa"/>
          </w:tcPr>
          <w:p w14:paraId="2B7F0250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theme="minorHAnsi"/>
                <w:sz w:val="20"/>
                <w:szCs w:val="20"/>
              </w:rPr>
              <w:t>Línia d’actuació</w:t>
            </w:r>
          </w:p>
        </w:tc>
        <w:tc>
          <w:tcPr>
            <w:tcW w:w="7229" w:type="dxa"/>
          </w:tcPr>
          <w:p w14:paraId="42887E3F" w14:textId="77777777" w:rsidR="0006628E" w:rsidRPr="00F90A23" w:rsidRDefault="0006628E" w:rsidP="00E660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="CIDFont+F2"/>
                <w:sz w:val="20"/>
                <w:szCs w:val="20"/>
              </w:rPr>
              <w:t xml:space="preserve">Subvencions per a actuacions destinades a fomentar la digitalització de les administracions locals amb competències en la gestió del cicle urbà de l’aigua, en municipis d’entre 5.000 i 20.000 habitants, en el marc del Pla de Recuperació Transformació i Resiliència finançat pels fons </w:t>
            </w:r>
            <w:proofErr w:type="spellStart"/>
            <w:r w:rsidRPr="00F90A23">
              <w:rPr>
                <w:rFonts w:cs="CIDFont+F2"/>
                <w:sz w:val="20"/>
                <w:szCs w:val="20"/>
              </w:rPr>
              <w:t>Next</w:t>
            </w:r>
            <w:proofErr w:type="spellEnd"/>
            <w:r w:rsidRPr="00F90A23">
              <w:rPr>
                <w:rFonts w:cs="CIDFont+F2"/>
                <w:sz w:val="20"/>
                <w:szCs w:val="20"/>
              </w:rPr>
              <w:t xml:space="preserve"> </w:t>
            </w:r>
            <w:proofErr w:type="spellStart"/>
            <w:r w:rsidRPr="00F90A23">
              <w:rPr>
                <w:rFonts w:cs="CIDFont+F2"/>
                <w:sz w:val="20"/>
                <w:szCs w:val="20"/>
              </w:rPr>
              <w:t>Generation</w:t>
            </w:r>
            <w:proofErr w:type="spellEnd"/>
            <w:r w:rsidRPr="00F90A23">
              <w:rPr>
                <w:rFonts w:cs="CIDFont+F2"/>
                <w:sz w:val="20"/>
                <w:szCs w:val="20"/>
              </w:rPr>
              <w:t xml:space="preserve"> EU</w:t>
            </w:r>
          </w:p>
        </w:tc>
      </w:tr>
      <w:tr w:rsidR="0006628E" w:rsidRPr="00F90A23" w14:paraId="2A0E1169" w14:textId="77777777" w:rsidTr="00E6601F">
        <w:tc>
          <w:tcPr>
            <w:tcW w:w="2405" w:type="dxa"/>
          </w:tcPr>
          <w:p w14:paraId="42E4DE78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theme="minorHAnsi"/>
                <w:sz w:val="20"/>
                <w:szCs w:val="20"/>
              </w:rPr>
              <w:t>Component</w:t>
            </w:r>
          </w:p>
        </w:tc>
        <w:tc>
          <w:tcPr>
            <w:tcW w:w="7229" w:type="dxa"/>
          </w:tcPr>
          <w:p w14:paraId="6137859F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theme="minorHAnsi"/>
                <w:sz w:val="20"/>
                <w:szCs w:val="20"/>
              </w:rPr>
              <w:t>Component 5 – Preservació del litoral i recursos hídrics</w:t>
            </w:r>
          </w:p>
        </w:tc>
      </w:tr>
      <w:tr w:rsidR="0006628E" w:rsidRPr="00F90A23" w14:paraId="641C2780" w14:textId="77777777" w:rsidTr="00E6601F">
        <w:tc>
          <w:tcPr>
            <w:tcW w:w="2405" w:type="dxa"/>
          </w:tcPr>
          <w:p w14:paraId="78BEAB27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theme="minorHAnsi"/>
                <w:sz w:val="20"/>
                <w:szCs w:val="20"/>
              </w:rPr>
              <w:t>Mesura</w:t>
            </w:r>
          </w:p>
        </w:tc>
        <w:tc>
          <w:tcPr>
            <w:tcW w:w="7229" w:type="dxa"/>
          </w:tcPr>
          <w:p w14:paraId="45B8F858" w14:textId="77777777" w:rsidR="0006628E" w:rsidRPr="00F90A23" w:rsidRDefault="0006628E" w:rsidP="00E6601F">
            <w:pPr>
              <w:rPr>
                <w:rFonts w:cstheme="minorHAnsi"/>
                <w:sz w:val="20"/>
                <w:szCs w:val="20"/>
              </w:rPr>
            </w:pPr>
            <w:r w:rsidRPr="00F90A23">
              <w:rPr>
                <w:rFonts w:cstheme="minorHAnsi"/>
                <w:sz w:val="20"/>
                <w:szCs w:val="20"/>
              </w:rPr>
              <w:t xml:space="preserve">Inversió 3 - </w:t>
            </w:r>
            <w:r w:rsidRPr="00F90A23">
              <w:rPr>
                <w:rFonts w:cs="Arial"/>
                <w:sz w:val="20"/>
                <w:szCs w:val="20"/>
              </w:rPr>
              <w:t>Transició digital en el sector de l’aigua</w:t>
            </w:r>
          </w:p>
        </w:tc>
      </w:tr>
    </w:tbl>
    <w:p w14:paraId="27244A0B" w14:textId="77777777" w:rsidR="0006628E" w:rsidRDefault="0006628E" w:rsidP="0006628E">
      <w:pPr>
        <w:spacing w:line="276" w:lineRule="auto"/>
        <w:rPr>
          <w:sz w:val="20"/>
          <w:szCs w:val="20"/>
        </w:rPr>
      </w:pPr>
    </w:p>
    <w:p w14:paraId="36395B18" w14:textId="77777777" w:rsidR="0006628E" w:rsidRPr="008A73F7" w:rsidRDefault="0006628E" w:rsidP="0006628E">
      <w:pPr>
        <w:ind w:left="851"/>
        <w:jc w:val="center"/>
        <w:rPr>
          <w:vanish/>
          <w:sz w:val="20"/>
          <w:szCs w:val="20"/>
        </w:rPr>
      </w:pPr>
    </w:p>
    <w:p w14:paraId="51686C0D" w14:textId="77777777" w:rsidR="0006628E" w:rsidRPr="008A73F7" w:rsidRDefault="0006628E" w:rsidP="0006628E">
      <w:pPr>
        <w:spacing w:after="22" w:line="247" w:lineRule="auto"/>
        <w:ind w:left="851" w:right="49"/>
        <w:jc w:val="center"/>
        <w:rPr>
          <w:rFonts w:eastAsia="Tw Cen MT" w:cs="Tw Cen MT"/>
          <w:color w:val="000000"/>
          <w:kern w:val="2"/>
          <w:sz w:val="20"/>
          <w:szCs w:val="20"/>
        </w:rPr>
      </w:pPr>
    </w:p>
    <w:p w14:paraId="2E0621BD" w14:textId="77777777" w:rsidR="0006628E" w:rsidRPr="008A73F7" w:rsidRDefault="0006628E" w:rsidP="0006628E">
      <w:pPr>
        <w:suppressAutoHyphens/>
        <w:rPr>
          <w:rFonts w:eastAsia="Symbol" w:cs="Noto Sans"/>
          <w:strike/>
          <w:sz w:val="20"/>
          <w:szCs w:val="20"/>
          <w:lang w:eastAsia="zh-CN"/>
        </w:rPr>
      </w:pPr>
    </w:p>
    <w:p w14:paraId="3C492288" w14:textId="77777777" w:rsidR="0006628E" w:rsidRPr="008A73F7" w:rsidRDefault="0006628E" w:rsidP="0006628E">
      <w:pPr>
        <w:suppressAutoHyphens/>
        <w:rPr>
          <w:rFonts w:cs="Aptos"/>
          <w:bCs/>
          <w:sz w:val="20"/>
          <w:szCs w:val="20"/>
          <w:lang w:eastAsia="zh-CN"/>
        </w:rPr>
      </w:pPr>
      <w:r w:rsidRPr="008A73F7">
        <w:rPr>
          <w:rFonts w:cs="Aptos"/>
          <w:b/>
          <w:sz w:val="20"/>
          <w:szCs w:val="20"/>
          <w:lang w:eastAsia="zh-CN"/>
        </w:rPr>
        <w:t>[Nom i cognoms]</w:t>
      </w:r>
      <w:r w:rsidRPr="008A73F7">
        <w:rPr>
          <w:rFonts w:cs="Aptos"/>
          <w:bCs/>
          <w:sz w:val="20"/>
          <w:szCs w:val="20"/>
          <w:lang w:eastAsia="zh-CN"/>
        </w:rPr>
        <w:t xml:space="preserve">, amb DNI </w:t>
      </w:r>
      <w:r w:rsidRPr="008A73F7">
        <w:rPr>
          <w:rFonts w:cs="Aptos"/>
          <w:b/>
          <w:sz w:val="20"/>
          <w:szCs w:val="20"/>
          <w:lang w:eastAsia="zh-CN"/>
        </w:rPr>
        <w:t>[núm. DNI]</w:t>
      </w:r>
      <w:r w:rsidRPr="008A73F7">
        <w:rPr>
          <w:rFonts w:cs="Aptos"/>
          <w:bCs/>
          <w:sz w:val="20"/>
          <w:szCs w:val="20"/>
          <w:lang w:eastAsia="zh-CN"/>
        </w:rPr>
        <w:t xml:space="preserve">, en representació de </w:t>
      </w:r>
      <w:r w:rsidRPr="008A73F7">
        <w:rPr>
          <w:rFonts w:cs="Aptos"/>
          <w:b/>
          <w:sz w:val="20"/>
          <w:szCs w:val="20"/>
          <w:lang w:eastAsia="zh-CN"/>
        </w:rPr>
        <w:t>[nom entitat]</w:t>
      </w:r>
      <w:r w:rsidRPr="008A73F7">
        <w:rPr>
          <w:rFonts w:cs="Aptos"/>
          <w:bCs/>
          <w:sz w:val="20"/>
          <w:szCs w:val="20"/>
          <w:lang w:eastAsia="zh-CN"/>
        </w:rPr>
        <w:t xml:space="preserve">, amb NIF </w:t>
      </w:r>
      <w:r w:rsidRPr="008A73F7">
        <w:rPr>
          <w:rFonts w:cs="Aptos"/>
          <w:b/>
          <w:sz w:val="20"/>
          <w:szCs w:val="20"/>
          <w:lang w:eastAsia="zh-CN"/>
        </w:rPr>
        <w:t>[núm. NIF]</w:t>
      </w:r>
      <w:r w:rsidRPr="008A73F7">
        <w:rPr>
          <w:rFonts w:cs="Aptos"/>
          <w:bCs/>
          <w:sz w:val="20"/>
          <w:szCs w:val="20"/>
          <w:lang w:eastAsia="zh-CN"/>
        </w:rPr>
        <w:t xml:space="preserve">, en qualitat de </w:t>
      </w:r>
      <w:r w:rsidRPr="008A73F7">
        <w:rPr>
          <w:rFonts w:cs="Aptos"/>
          <w:b/>
          <w:sz w:val="20"/>
          <w:szCs w:val="20"/>
          <w:lang w:eastAsia="zh-CN"/>
        </w:rPr>
        <w:t>[càrrec],</w:t>
      </w:r>
      <w:r w:rsidRPr="008A73F7">
        <w:rPr>
          <w:rFonts w:cs="Aptos"/>
          <w:bCs/>
          <w:sz w:val="20"/>
          <w:szCs w:val="20"/>
          <w:lang w:eastAsia="zh-CN"/>
        </w:rPr>
        <w:t xml:space="preserve"> com a participant en el procediment d’adjudicació del contracte indicat, sota la meva responsabilitat, en matèria mediambiental </w:t>
      </w:r>
      <w:r w:rsidRPr="008A73F7">
        <w:rPr>
          <w:rFonts w:cs="Aptos"/>
          <w:b/>
          <w:sz w:val="20"/>
          <w:szCs w:val="20"/>
          <w:lang w:eastAsia="zh-CN"/>
        </w:rPr>
        <w:t>declaro que:</w:t>
      </w:r>
      <w:r w:rsidRPr="008A73F7">
        <w:rPr>
          <w:rFonts w:cs="Aptos"/>
          <w:bCs/>
          <w:sz w:val="20"/>
          <w:szCs w:val="20"/>
          <w:lang w:eastAsia="zh-CN"/>
        </w:rPr>
        <w:t xml:space="preserve"> </w:t>
      </w:r>
    </w:p>
    <w:p w14:paraId="5CBE9133" w14:textId="77777777" w:rsidR="0006628E" w:rsidRPr="008A73F7" w:rsidRDefault="0006628E" w:rsidP="0006628E">
      <w:pPr>
        <w:suppressAutoHyphens/>
        <w:rPr>
          <w:rFonts w:cs="Aptos"/>
          <w:bCs/>
          <w:sz w:val="20"/>
          <w:szCs w:val="20"/>
          <w:lang w:eastAsia="zh-CN"/>
        </w:rPr>
      </w:pPr>
    </w:p>
    <w:p w14:paraId="15D52A8C" w14:textId="77777777" w:rsidR="0006628E" w:rsidRPr="008A73F7" w:rsidRDefault="0006628E" w:rsidP="0006628E">
      <w:pPr>
        <w:suppressAutoHyphens/>
        <w:rPr>
          <w:rFonts w:cs="Aptos"/>
          <w:bCs/>
          <w:sz w:val="20"/>
          <w:szCs w:val="20"/>
          <w:lang w:eastAsia="zh-CN"/>
        </w:rPr>
      </w:pPr>
      <w:r w:rsidRPr="008A73F7">
        <w:rPr>
          <w:rFonts w:cs="Aptos"/>
          <w:bCs/>
          <w:sz w:val="20"/>
          <w:szCs w:val="20"/>
          <w:lang w:eastAsia="zh-CN"/>
        </w:rPr>
        <w:t xml:space="preserve">Que </w:t>
      </w:r>
      <w:r>
        <w:rPr>
          <w:rFonts w:cs="Aptos"/>
          <w:bCs/>
          <w:sz w:val="20"/>
          <w:szCs w:val="20"/>
          <w:lang w:eastAsia="zh-CN"/>
        </w:rPr>
        <w:t xml:space="preserve"> l’empresa licitadora/ contractista </w:t>
      </w:r>
      <w:r w:rsidRPr="008A73F7">
        <w:rPr>
          <w:rFonts w:cs="Aptos"/>
          <w:bCs/>
          <w:sz w:val="20"/>
          <w:szCs w:val="20"/>
          <w:lang w:eastAsia="zh-CN"/>
        </w:rPr>
        <w:t>l’entitat sol·licitant a la qual represento, tenint el compte totes les fases del cicle de vida del projecte o activitat que s’ha de desenvolupar, tant durant la implantació com al final de la seva vida útil, complirà amb el principi de no ocasionar un perjudici significatiu al medi ambient (</w:t>
      </w:r>
      <w:proofErr w:type="spellStart"/>
      <w:r w:rsidRPr="008A73F7">
        <w:rPr>
          <w:rFonts w:cs="Aptos"/>
          <w:bCs/>
          <w:sz w:val="20"/>
          <w:szCs w:val="20"/>
          <w:lang w:eastAsia="zh-CN"/>
        </w:rPr>
        <w:t>DNSH</w:t>
      </w:r>
      <w:proofErr w:type="spellEnd"/>
      <w:r w:rsidRPr="008A73F7">
        <w:rPr>
          <w:rFonts w:cs="Aptos"/>
          <w:bCs/>
          <w:sz w:val="20"/>
          <w:szCs w:val="20"/>
          <w:lang w:eastAsia="zh-CN"/>
        </w:rPr>
        <w:t>), exigit pel Reglament (UE) 2021/241, pel qual s’estableix el Mecanisme de Recuperació i Resiliència, de manera que:</w:t>
      </w:r>
    </w:p>
    <w:p w14:paraId="2DCDE83F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1. Mitigació del canvi climàtic.</w:t>
      </w:r>
    </w:p>
    <w:p w14:paraId="4F5372E1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2. Adaptació al canvi climàtic.</w:t>
      </w:r>
    </w:p>
    <w:p w14:paraId="4F6B1234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3. Ús sostenible i protecció dels recursos hídrics i marins.</w:t>
      </w:r>
    </w:p>
    <w:p w14:paraId="59A64761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4. Economia circular, inclosos la prevenció i el reciclatge de residus.</w:t>
      </w:r>
    </w:p>
    <w:p w14:paraId="5B0D430E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5. Prevenció i control de la contaminació a l'atmosfera, l'aigua o el sòl.</w:t>
      </w:r>
    </w:p>
    <w:p w14:paraId="26D262BA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6. Protecció i restauració de la biodiversitat i els ecosistemes.</w:t>
      </w:r>
    </w:p>
    <w:p w14:paraId="70224FF6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6F627AC3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B. Les activitats s'adeqüen, en el seu cas, a les característiques i condicions fixades</w:t>
      </w:r>
    </w:p>
    <w:p w14:paraId="300C8859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 xml:space="preserve">per a la mesura i </w:t>
      </w:r>
      <w:proofErr w:type="spellStart"/>
      <w:r w:rsidRPr="008A73F7">
        <w:rPr>
          <w:rFonts w:eastAsia="Symbol" w:cs="Noto Sans"/>
          <w:sz w:val="20"/>
          <w:szCs w:val="20"/>
          <w:lang w:eastAsia="zh-CN"/>
        </w:rPr>
        <w:t>submesura</w:t>
      </w:r>
      <w:proofErr w:type="spellEnd"/>
      <w:r w:rsidRPr="008A73F7">
        <w:rPr>
          <w:rFonts w:eastAsia="Symbol" w:cs="Noto Sans"/>
          <w:sz w:val="20"/>
          <w:szCs w:val="20"/>
          <w:lang w:eastAsia="zh-CN"/>
        </w:rPr>
        <w:t xml:space="preserve"> de la Component i reflectides en el Pla de Recuperació,</w:t>
      </w:r>
    </w:p>
    <w:p w14:paraId="6BD77B65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lastRenderedPageBreak/>
        <w:t>Transformació i Resiliència.</w:t>
      </w:r>
    </w:p>
    <w:p w14:paraId="44A5D351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28A8AD8F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C. Les activitats que es desenvolupen en el projecte compliran la normativa mediambiental vigent que resulti d'aplicació.</w:t>
      </w:r>
    </w:p>
    <w:p w14:paraId="6A170656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105B04B6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D. Les activitats que es desenvolupen no estan excloses per al seu finançament pel</w:t>
      </w:r>
    </w:p>
    <w:p w14:paraId="0ED06A13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Pla conforme a la Guia tècnica sobre l'aplicació del principi de «no causar un perjudici significatiu» en virtut del Reglament relatiu al Mecanisme de Recuperació i Resiliència (2021/C 58/01)32, a la Proposta de Decisió d'Execució del Consell relativa a l'aprovació de l'avaluació del pla de recuperació i resiliència de España i al seu corresponent annex.</w:t>
      </w:r>
    </w:p>
    <w:p w14:paraId="6C8217F7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55DE605B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E. Les activitats que es desenvolupen no causen efectes directes sobre el medi ambient, ni efectes indirectes primaris en tot el seu cicle de vida, entenent com a tals</w:t>
      </w:r>
    </w:p>
    <w:p w14:paraId="4F236630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aquells que poguessin materialitzar-se després de la seva finalització, una vegada realitzada l'activitat.</w:t>
      </w:r>
    </w:p>
    <w:p w14:paraId="1C142531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4BE395E7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L'incompliment d'algun dels requisits establerts en la present declaració donarà lloc a l'obligació de retornar les quantitats percebudes i els interessos de demora corresponents.</w:t>
      </w:r>
    </w:p>
    <w:p w14:paraId="74FA953C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4C3C023A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</w:p>
    <w:p w14:paraId="352E4669" w14:textId="77777777" w:rsidR="0006628E" w:rsidRPr="008A73F7" w:rsidRDefault="0006628E" w:rsidP="0006628E">
      <w:pPr>
        <w:suppressAutoHyphens/>
        <w:rPr>
          <w:rFonts w:eastAsia="Calibri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Data:</w:t>
      </w:r>
    </w:p>
    <w:p w14:paraId="4B4FEDBB" w14:textId="77777777" w:rsidR="0006628E" w:rsidRPr="008A73F7" w:rsidRDefault="0006628E" w:rsidP="0006628E">
      <w:pPr>
        <w:suppressAutoHyphens/>
        <w:rPr>
          <w:rFonts w:eastAsia="Symbol" w:cs="Noto Sans"/>
          <w:sz w:val="20"/>
          <w:szCs w:val="20"/>
          <w:lang w:eastAsia="zh-CN"/>
        </w:rPr>
      </w:pPr>
      <w:r w:rsidRPr="008A73F7">
        <w:rPr>
          <w:rFonts w:eastAsia="Symbol" w:cs="Noto Sans"/>
          <w:sz w:val="20"/>
          <w:szCs w:val="20"/>
          <w:lang w:eastAsia="zh-CN"/>
        </w:rPr>
        <w:t>Signat:</w:t>
      </w:r>
    </w:p>
    <w:sectPr w:rsidR="0006628E" w:rsidRPr="008A73F7" w:rsidSect="0074731A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CA13" w14:textId="77777777" w:rsidR="00A130E3" w:rsidRDefault="00A130E3">
      <w:r>
        <w:separator/>
      </w:r>
    </w:p>
  </w:endnote>
  <w:endnote w:type="continuationSeparator" w:id="0">
    <w:p w14:paraId="22B12608" w14:textId="77777777" w:rsidR="00A130E3" w:rsidRDefault="00A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5D91" w14:textId="77777777" w:rsidR="00A130E3" w:rsidRDefault="00A130E3">
      <w:r>
        <w:separator/>
      </w:r>
    </w:p>
  </w:footnote>
  <w:footnote w:type="continuationSeparator" w:id="0">
    <w:p w14:paraId="77B9BBC5" w14:textId="77777777" w:rsidR="00A130E3" w:rsidRDefault="00A1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  <w:p w14:paraId="71AA93CB" w14:textId="77777777" w:rsidR="0006628E" w:rsidRDefault="0006628E">
    <w:pPr>
      <w:pStyle w:val="Encabezado"/>
    </w:pPr>
  </w:p>
  <w:p w14:paraId="45F749E7" w14:textId="77777777" w:rsidR="0006628E" w:rsidRDefault="00066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753A7"/>
    <w:rsid w:val="002072D2"/>
    <w:rsid w:val="005E17B3"/>
    <w:rsid w:val="006B209D"/>
    <w:rsid w:val="00701BBD"/>
    <w:rsid w:val="0074731A"/>
    <w:rsid w:val="007D612A"/>
    <w:rsid w:val="00A130E3"/>
    <w:rsid w:val="00B10D9F"/>
    <w:rsid w:val="00B476F0"/>
    <w:rsid w:val="00BC0D30"/>
    <w:rsid w:val="00BD7559"/>
    <w:rsid w:val="00BF3DAF"/>
    <w:rsid w:val="00E33C33"/>
    <w:rsid w:val="00EC778D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2026-05-19T11:19:00Z</dcterms:created>
  <dcterms:modified xsi:type="dcterms:W3CDTF">2026-05-19T11:19:00Z</dcterms:modified>
</cp:coreProperties>
</file>