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F55AF5" w:rsidRPr="00B33F8C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E55F6D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1D6A38" w:rsidRPr="001D6A38">
        <w:rPr>
          <w:rFonts w:asciiTheme="minorHAnsi" w:eastAsia="Arial" w:hAnsiTheme="minorHAnsi" w:cs="Arial"/>
          <w:b/>
          <w:bCs/>
          <w:lang w:eastAsia="ca-ES" w:bidi="ca-ES"/>
        </w:rPr>
        <w:t>EXECUCIÓ DE LES OBRES DE MILLORA DE LA RESILIÈNCIA DEL CENTRE: INSTAL·LACIONS DE PRODUCCIÓ DE CALEFACCIÓ I D’ACS DE L’HOSPITAL COMARCAL DE L’ALT PENEDÈS (HCAP) I MILLORA DE LES INSTAL·LACIONS ELÈCTRIQUES EN CAS D’INUNDACIÓ, EN EL MARC DE LES ACTUACIONS DE MILLORA EN LA RESILIÈNCIA DE LES INSTAL·LACIONS TÈCNIQUES DE L’HCAP</w:t>
      </w:r>
      <w:r w:rsidR="001D6A38" w:rsidRPr="00A633E9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877D22">
        <w:rPr>
          <w:rFonts w:asciiTheme="minorHAnsi" w:hAnsiTheme="minorHAnsi" w:cs="Arial"/>
          <w:color w:val="000000"/>
          <w:lang w:eastAsia="zh-CN"/>
        </w:rPr>
        <w:t xml:space="preserve">a contractació de </w:t>
      </w:r>
      <w:r w:rsidR="00877D22">
        <w:rPr>
          <w:rFonts w:ascii="Calibri" w:hAnsi="Calibri" w:cs="Calibri"/>
          <w:b/>
        </w:rPr>
        <w:t>l’</w:t>
      </w:r>
      <w:r w:rsidR="001D6A38">
        <w:rPr>
          <w:rFonts w:ascii="Calibri" w:hAnsi="Calibri" w:cs="Calibri"/>
          <w:b/>
        </w:rPr>
        <w:t>e</w:t>
      </w:r>
      <w:r w:rsidR="001D6A38" w:rsidRPr="001D6A38">
        <w:rPr>
          <w:rFonts w:ascii="Calibri" w:hAnsi="Calibri" w:cs="Calibri"/>
          <w:b/>
        </w:rPr>
        <w:t>xecució de les obres de millora de la resiliència del centre: Instal·lacions de producció de calefacció i d’ACS de l’Hospital Comarcal de l’Alt Penedès (HCAP) i millora de les instal·lacions elèctriques en cas d’inundació, en el marc de les actuacions de millora en la resiliència de les instal·lacions tècniques de l’HCAP</w:t>
      </w:r>
      <w:r w:rsidR="00877D22">
        <w:rPr>
          <w:rFonts w:ascii="Calibri" w:hAnsi="Calibri" w:cs="Calibri"/>
          <w:b/>
        </w:rPr>
        <w:t>)</w:t>
      </w:r>
      <w:r w:rsidR="006D1AE7">
        <w:rPr>
          <w:rFonts w:ascii="Calibri" w:hAnsi="Calibri" w:cs="Calibri"/>
          <w:b/>
        </w:rPr>
        <w:t xml:space="preserve">,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DF5B44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877D22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1D6A38">
        <w:rPr>
          <w:rFonts w:asciiTheme="minorHAnsi" w:hAnsiTheme="minorHAnsi" w:cs="Calibri"/>
          <w:b/>
          <w:color w:val="000000"/>
          <w:lang w:eastAsia="zh-CN"/>
        </w:rPr>
        <w:t>14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F18D0" w:rsidRDefault="00FF18D0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B6B6C" w:rsidRDefault="001D6A38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6A38">
              <w:rPr>
                <w:rFonts w:ascii="Calibri" w:hAnsi="Calibri" w:cs="Calibri"/>
                <w:b/>
                <w:bCs/>
                <w:color w:val="FF0000"/>
              </w:rPr>
              <w:t xml:space="preserve">1.693.028,76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7C109E" w:rsidRDefault="007C109E" w:rsidP="00E37F7C">
      <w:pPr>
        <w:suppressAutoHyphens/>
        <w:autoSpaceDE w:val="0"/>
        <w:spacing w:after="120"/>
        <w:jc w:val="both"/>
        <w:rPr>
          <w:rFonts w:ascii="Calibri" w:hAnsi="Calibri" w:cs="Calibri"/>
          <w:b/>
          <w:color w:val="0000FF"/>
          <w:highlight w:val="lightGray"/>
          <w:lang w:eastAsia="zh-CN"/>
        </w:rPr>
      </w:pPr>
    </w:p>
    <w:p w:rsidR="00F55AF5" w:rsidRPr="00F55AF5" w:rsidRDefault="00F55AF5" w:rsidP="00E37F7C">
      <w:pPr>
        <w:suppressAutoHyphens/>
        <w:autoSpaceDE w:val="0"/>
        <w:spacing w:after="120"/>
        <w:jc w:val="both"/>
        <w:rPr>
          <w:rFonts w:ascii="Calibri" w:hAnsi="Calibri" w:cs="Calibri"/>
          <w:color w:val="000000"/>
          <w:lang w:eastAsia="zh-CN"/>
        </w:rPr>
      </w:pPr>
      <w:r w:rsidRPr="00E02FAB">
        <w:rPr>
          <w:rFonts w:ascii="Calibri" w:hAnsi="Calibri" w:cs="Calibri"/>
          <w:b/>
          <w:color w:val="0000FF"/>
          <w:highlight w:val="lightGray"/>
          <w:lang w:eastAsia="zh-CN"/>
        </w:rPr>
        <w:t>(*)</w:t>
      </w:r>
      <w:r w:rsidRPr="00F55AF5">
        <w:rPr>
          <w:rFonts w:ascii="Calibri" w:hAnsi="Calibri" w:cs="Calibri"/>
          <w:color w:val="000000"/>
          <w:lang w:eastAsia="zh-CN"/>
        </w:rPr>
        <w:t xml:space="preserve"> L’oferta econòmica global</w:t>
      </w:r>
      <w:r w:rsidR="00E02FAB">
        <w:rPr>
          <w:rFonts w:ascii="Calibri" w:hAnsi="Calibri" w:cs="Calibri"/>
          <w:color w:val="000000"/>
          <w:lang w:eastAsia="zh-CN"/>
        </w:rPr>
        <w:t xml:space="preserve"> </w:t>
      </w:r>
      <w:proofErr w:type="spellStart"/>
      <w:r w:rsidR="00E02FAB">
        <w:rPr>
          <w:rFonts w:ascii="Calibri" w:hAnsi="Calibri" w:cs="Calibri"/>
          <w:color w:val="000000"/>
          <w:lang w:eastAsia="zh-CN"/>
        </w:rPr>
        <w:t>ofertada</w:t>
      </w:r>
      <w:proofErr w:type="spellEnd"/>
      <w:r w:rsidR="00E02FAB">
        <w:rPr>
          <w:rFonts w:ascii="Calibri" w:hAnsi="Calibri" w:cs="Calibri"/>
          <w:color w:val="000000"/>
          <w:lang w:eastAsia="zh-CN"/>
        </w:rPr>
        <w:t xml:space="preserve"> pel licitador</w:t>
      </w:r>
      <w:r w:rsidRPr="00F55AF5">
        <w:rPr>
          <w:rFonts w:ascii="Calibri" w:hAnsi="Calibri" w:cs="Calibri"/>
          <w:color w:val="000000"/>
          <w:lang w:eastAsia="zh-CN"/>
        </w:rPr>
        <w:t xml:space="preserve"> </w:t>
      </w:r>
      <w:r w:rsidR="00E02FAB">
        <w:rPr>
          <w:rFonts w:ascii="Calibri" w:hAnsi="Calibri" w:cs="Calibri"/>
          <w:color w:val="000000"/>
          <w:lang w:eastAsia="zh-CN"/>
        </w:rPr>
        <w:t>se</w:t>
      </w:r>
      <w:r w:rsidR="00394B45">
        <w:rPr>
          <w:rFonts w:ascii="Calibri" w:hAnsi="Calibri" w:cs="Calibri"/>
          <w:color w:val="000000"/>
          <w:lang w:eastAsia="zh-CN"/>
        </w:rPr>
        <w:t>rà la suma de la seva oferta econòmica general, del 13% de despeses generals del</w:t>
      </w:r>
      <w:r w:rsidR="00E02FAB">
        <w:rPr>
          <w:rFonts w:ascii="Calibri" w:hAnsi="Calibri" w:cs="Calibri"/>
          <w:color w:val="000000"/>
          <w:lang w:eastAsia="zh-CN"/>
        </w:rPr>
        <w:t xml:space="preserve"> 6% de benefici industrial. </w:t>
      </w:r>
      <w:r w:rsidR="00394B45">
        <w:rPr>
          <w:rFonts w:ascii="Calibri" w:hAnsi="Calibri" w:cs="Calibri"/>
          <w:color w:val="000000"/>
          <w:lang w:eastAsia="zh-CN"/>
        </w:rPr>
        <w:t>Per aquest motiu es requereix al licitador complimentar la taula següent:</w:t>
      </w:r>
    </w:p>
    <w:p w:rsidR="00FF18D0" w:rsidRDefault="00FF18D0" w:rsidP="00E02FAB">
      <w:pPr>
        <w:tabs>
          <w:tab w:val="left" w:pos="2960"/>
        </w:tabs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394B45" w:rsidRPr="002F4D89" w:rsidTr="002148E4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394B45" w:rsidRPr="0022590C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394B45" w:rsidRPr="0022590C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394B45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general </w:t>
            </w:r>
          </w:p>
        </w:tc>
        <w:tc>
          <w:tcPr>
            <w:tcW w:w="1692" w:type="dxa"/>
            <w:vAlign w:val="center"/>
          </w:tcPr>
          <w:p w:rsidR="00394B45" w:rsidRPr="00877D22" w:rsidRDefault="00BC74BE" w:rsidP="00BC74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FF0000"/>
              </w:rPr>
              <w:t>1.422.</w:t>
            </w:r>
            <w:r w:rsidR="00877D22" w:rsidRPr="00877D22">
              <w:rPr>
                <w:rFonts w:ascii="Calibri" w:hAnsi="Calibri" w:cs="Calibri"/>
                <w:bCs/>
                <w:color w:val="FF0000"/>
              </w:rPr>
              <w:t>7</w:t>
            </w:r>
            <w:r>
              <w:rPr>
                <w:rFonts w:ascii="Calibri" w:hAnsi="Calibri" w:cs="Calibri"/>
                <w:bCs/>
                <w:color w:val="FF0000"/>
              </w:rPr>
              <w:t>13,24</w:t>
            </w:r>
            <w:r w:rsidR="00877D22" w:rsidRPr="00877D22">
              <w:rPr>
                <w:rFonts w:ascii="Calibri" w:hAnsi="Calibri"/>
                <w:bCs/>
                <w:sz w:val="20"/>
                <w:szCs w:val="20"/>
                <w:lang w:eastAsia="ca-ES"/>
              </w:rPr>
              <w:t xml:space="preserve"> </w:t>
            </w:r>
            <w:r w:rsidR="00394B45" w:rsidRPr="00877D22">
              <w:rPr>
                <w:rFonts w:ascii="Calibri" w:hAnsi="Calibri" w:cs="Calibri"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13% despeses generals</w:t>
            </w:r>
          </w:p>
        </w:tc>
        <w:tc>
          <w:tcPr>
            <w:tcW w:w="1692" w:type="dxa"/>
            <w:vAlign w:val="center"/>
          </w:tcPr>
          <w:p w:rsidR="00394B45" w:rsidRPr="00AB6B6C" w:rsidRDefault="00BC74BE" w:rsidP="00AB6B6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18</w:t>
            </w:r>
            <w:r w:rsidR="00877D22">
              <w:rPr>
                <w:rFonts w:ascii="Calibri" w:hAnsi="Calibri" w:cs="Calibri"/>
                <w:color w:val="FF0000"/>
              </w:rPr>
              <w:t>4.</w:t>
            </w:r>
            <w:r>
              <w:rPr>
                <w:rFonts w:ascii="Calibri" w:hAnsi="Calibri" w:cs="Calibri"/>
                <w:color w:val="FF0000"/>
              </w:rPr>
              <w:t>952,</w:t>
            </w:r>
            <w:r w:rsidR="00877D22">
              <w:rPr>
                <w:rFonts w:ascii="Calibri" w:hAnsi="Calibri" w:cs="Calibri"/>
                <w:color w:val="FF0000"/>
              </w:rPr>
              <w:t>7</w:t>
            </w:r>
            <w:r>
              <w:rPr>
                <w:rFonts w:ascii="Calibri" w:hAnsi="Calibri" w:cs="Calibri"/>
                <w:color w:val="FF0000"/>
              </w:rPr>
              <w:t>2</w:t>
            </w:r>
            <w:r w:rsidR="00877D22">
              <w:rPr>
                <w:rFonts w:ascii="Calibri" w:hAnsi="Calibri" w:cs="Calibri"/>
                <w:color w:val="FF0000"/>
              </w:rPr>
              <w:t xml:space="preserve"> </w:t>
            </w:r>
            <w:r w:rsidR="00394B45" w:rsidRPr="00AB6B6C">
              <w:rPr>
                <w:rFonts w:ascii="Calibri" w:hAnsi="Calibri" w:cs="Calibri"/>
                <w:color w:val="FF0000"/>
              </w:rPr>
              <w:t>€</w:t>
            </w:r>
          </w:p>
          <w:p w:rsidR="00394B45" w:rsidRPr="00AB6B6C" w:rsidRDefault="00394B45" w:rsidP="00AB6B6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6% benefici industrial</w:t>
            </w:r>
          </w:p>
        </w:tc>
        <w:tc>
          <w:tcPr>
            <w:tcW w:w="1692" w:type="dxa"/>
            <w:vAlign w:val="center"/>
          </w:tcPr>
          <w:p w:rsidR="00394B45" w:rsidRPr="00AB6B6C" w:rsidRDefault="00BC74BE" w:rsidP="00AB6B6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85.362</w:t>
            </w:r>
            <w:r w:rsidR="00877D22">
              <w:rPr>
                <w:rFonts w:ascii="Calibri" w:hAnsi="Calibri" w:cs="Calibri"/>
                <w:color w:val="FF0000"/>
              </w:rPr>
              <w:t>,</w:t>
            </w:r>
            <w:r>
              <w:rPr>
                <w:rFonts w:ascii="Calibri" w:hAnsi="Calibri" w:cs="Calibri"/>
                <w:color w:val="FF0000"/>
              </w:rPr>
              <w:t>80</w:t>
            </w:r>
            <w:bookmarkStart w:id="1" w:name="_GoBack"/>
            <w:bookmarkEnd w:id="1"/>
            <w:r w:rsidR="00394B45" w:rsidRPr="00AB6B6C">
              <w:rPr>
                <w:rFonts w:ascii="Calibri" w:hAnsi="Calibri" w:cs="Calibri"/>
                <w:color w:val="FF0000"/>
              </w:rPr>
              <w:t xml:space="preserve"> €</w:t>
            </w:r>
          </w:p>
          <w:p w:rsidR="00394B45" w:rsidRPr="00AB6B6C" w:rsidRDefault="00394B45" w:rsidP="00AB6B6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GLOBAL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394B45" w:rsidRPr="00AB6B6C" w:rsidRDefault="00BC74BE" w:rsidP="00877D22">
            <w:pPr>
              <w:jc w:val="center"/>
              <w:rPr>
                <w:rFonts w:ascii="Calibri" w:hAnsi="Calibri" w:cs="Calibri"/>
                <w:color w:val="FF0000"/>
              </w:rPr>
            </w:pPr>
            <w:r w:rsidRPr="00BC74BE">
              <w:rPr>
                <w:rFonts w:ascii="Calibri" w:hAnsi="Calibri" w:cs="Calibri"/>
                <w:b/>
                <w:bCs/>
                <w:color w:val="FF0000"/>
              </w:rPr>
              <w:t xml:space="preserve">1.693.028,76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1D6A38" w:rsidRPr="008D1E4B" w:rsidRDefault="001D6A38" w:rsidP="001D6A38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b/>
          <w:sz w:val="22"/>
          <w:szCs w:val="22"/>
          <w:lang w:val="ca-ES"/>
        </w:rPr>
      </w:pPr>
      <w:r w:rsidRPr="008D1E4B">
        <w:rPr>
          <w:rStyle w:val="msoins0"/>
          <w:rFonts w:ascii="Calibri" w:hAnsi="Calibri" w:cs="Calibri"/>
          <w:b/>
          <w:sz w:val="22"/>
          <w:szCs w:val="22"/>
          <w:lang w:val="ca-ES"/>
        </w:rPr>
        <w:t>Quant a l’oferta econòmica, el</w:t>
      </w:r>
      <w:r w:rsidRPr="008D1E4B">
        <w:rPr>
          <w:rFonts w:ascii="Calibri" w:hAnsi="Calibri" w:cs="Calibri"/>
          <w:b/>
          <w:sz w:val="22"/>
          <w:szCs w:val="22"/>
          <w:lang w:val="ca-ES"/>
        </w:rPr>
        <w:t>s </w:t>
      </w:r>
      <w:r w:rsidRPr="008D1E4B">
        <w:rPr>
          <w:rStyle w:val="msoins0"/>
          <w:rFonts w:ascii="Calibri" w:hAnsi="Calibri" w:cs="Calibri"/>
          <w:b/>
          <w:sz w:val="22"/>
          <w:szCs w:val="22"/>
          <w:lang w:val="ca-ES"/>
        </w:rPr>
        <w:t xml:space="preserve">licitadors faran constar l'import global de l'oferta d’acord amb el document </w:t>
      </w:r>
      <w:r w:rsidRPr="008D1E4B">
        <w:rPr>
          <w:rFonts w:asciiTheme="minorHAnsi" w:hAnsiTheme="minorHAnsi"/>
          <w:b/>
          <w:bCs/>
          <w:sz w:val="22"/>
          <w:szCs w:val="22"/>
          <w:lang w:val="ca-ES"/>
        </w:rPr>
        <w:t>“</w:t>
      </w:r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 xml:space="preserve">05b CSAPG 2026_14 </w:t>
      </w:r>
      <w:proofErr w:type="spellStart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>PCAP_Annex</w:t>
      </w:r>
      <w:proofErr w:type="spellEnd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 xml:space="preserve"> 2_Sobre </w:t>
      </w:r>
      <w:proofErr w:type="spellStart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>C_Obres</w:t>
      </w:r>
      <w:proofErr w:type="spellEnd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 xml:space="preserve"> </w:t>
      </w:r>
      <w:proofErr w:type="spellStart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>Resiliencia_Instalacions_HCAP</w:t>
      </w:r>
      <w:proofErr w:type="spellEnd"/>
      <w:r w:rsidRPr="008D1E4B">
        <w:rPr>
          <w:rFonts w:asciiTheme="minorHAnsi" w:hAnsiTheme="minorHAnsi"/>
          <w:b/>
          <w:bCs/>
          <w:sz w:val="22"/>
          <w:szCs w:val="22"/>
          <w:lang w:val="ca-ES"/>
        </w:rPr>
        <w:t>”</w:t>
      </w:r>
      <w:r w:rsidRPr="008D1E4B">
        <w:rPr>
          <w:rFonts w:asciiTheme="minorHAnsi" w:hAnsiTheme="minorHAnsi"/>
          <w:bCs/>
          <w:lang w:val="ca-ES"/>
        </w:rPr>
        <w:t xml:space="preserve"> </w:t>
      </w:r>
      <w:r w:rsidRPr="008D1E4B">
        <w:rPr>
          <w:rStyle w:val="msoins0"/>
          <w:rFonts w:ascii="Calibri" w:hAnsi="Calibri" w:cs="Calibri"/>
          <w:b/>
          <w:sz w:val="22"/>
          <w:szCs w:val="22"/>
          <w:lang w:val="ca-ES"/>
        </w:rPr>
        <w:t xml:space="preserve">del Plec de Clàusules Administratives Particulars del contracte. </w:t>
      </w:r>
    </w:p>
    <w:p w:rsidR="001D6A38" w:rsidRPr="008D1E4B" w:rsidRDefault="001D6A38" w:rsidP="001D6A38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 w:rsidRPr="008D1E4B">
        <w:rPr>
          <w:rFonts w:asciiTheme="minorHAnsi" w:hAnsiTheme="minorHAnsi"/>
          <w:bCs/>
          <w:sz w:val="22"/>
          <w:szCs w:val="22"/>
          <w:lang w:val="ca-ES"/>
        </w:rPr>
        <w:t xml:space="preserve">Es valorarà l'import global però s'haurà de presentar </w:t>
      </w:r>
      <w:r w:rsidRPr="008D1E4B">
        <w:rPr>
          <w:rFonts w:asciiTheme="minorHAnsi" w:hAnsiTheme="minorHAnsi"/>
          <w:b/>
          <w:bCs/>
          <w:sz w:val="22"/>
          <w:szCs w:val="22"/>
          <w:u w:val="single"/>
          <w:lang w:val="ca-ES"/>
        </w:rPr>
        <w:t>pressupost detallat de totes les partides que consten a l'estat d'amidaments complimentant el document d’Excel:</w:t>
      </w:r>
      <w:r w:rsidRPr="008D1E4B">
        <w:rPr>
          <w:rFonts w:asciiTheme="minorHAnsi" w:hAnsiTheme="minorHAnsi"/>
          <w:b/>
          <w:bCs/>
          <w:sz w:val="22"/>
          <w:szCs w:val="22"/>
          <w:lang w:val="ca-ES"/>
        </w:rPr>
        <w:t xml:space="preserve"> “</w:t>
      </w:r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 xml:space="preserve">05c CSAPG 2026_14 </w:t>
      </w:r>
      <w:proofErr w:type="spellStart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>PCAP_Annex</w:t>
      </w:r>
      <w:proofErr w:type="spellEnd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 xml:space="preserve"> 3_Sobre </w:t>
      </w:r>
      <w:proofErr w:type="spellStart"/>
      <w:r w:rsidRPr="008D1E4B">
        <w:rPr>
          <w:rStyle w:val="msoins0"/>
          <w:rFonts w:ascii="Calibri" w:hAnsi="Calibri" w:cs="Calibri"/>
          <w:color w:val="0000FF"/>
          <w:u w:val="single"/>
          <w:lang w:val="ca-ES"/>
        </w:rPr>
        <w:t>C_Instal.lacions_HCAP</w:t>
      </w:r>
      <w:proofErr w:type="spellEnd"/>
      <w:r w:rsidRPr="008D1E4B">
        <w:rPr>
          <w:rStyle w:val="msoins0"/>
          <w:rFonts w:ascii="Calibri" w:hAnsi="Calibri" w:cs="Calibri"/>
          <w:sz w:val="22"/>
          <w:szCs w:val="22"/>
          <w:lang w:val="ca-ES"/>
        </w:rPr>
        <w:t>”</w:t>
      </w:r>
      <w:r w:rsidRPr="008D1E4B">
        <w:rPr>
          <w:rFonts w:asciiTheme="minorHAnsi" w:hAnsiTheme="minorHAnsi"/>
          <w:bCs/>
          <w:lang w:val="ca-ES"/>
        </w:rPr>
        <w:t xml:space="preserve">. </w:t>
      </w: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Pr="00102561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C74BE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C74BE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877D22" w:rsidP="00F55AF5">
    <w:pPr>
      <w:pStyle w:val="Encabezado"/>
      <w:rPr>
        <w:rFonts w:ascii="Calibri" w:hAnsi="Calibri"/>
        <w:color w:val="808080"/>
      </w:rPr>
    </w:pPr>
    <w:r w:rsidRPr="00666D9B">
      <w:rPr>
        <w:rFonts w:ascii="Calibri" w:eastAsia="SimSun" w:hAnsi="Calibri" w:cs="Lucida Sans"/>
        <w:b/>
        <w:bCs/>
        <w:noProof/>
        <w:kern w:val="1"/>
        <w:lang w:val="es-ES"/>
      </w:rPr>
      <w:drawing>
        <wp:anchor distT="0" distB="0" distL="114300" distR="114300" simplePos="0" relativeHeight="251661312" behindDoc="0" locked="0" layoutInCell="1" allowOverlap="1" wp14:anchorId="057131C8" wp14:editId="628F7CE0">
          <wp:simplePos x="0" y="0"/>
          <wp:positionH relativeFrom="column">
            <wp:posOffset>0</wp:posOffset>
          </wp:positionH>
          <wp:positionV relativeFrom="paragraph">
            <wp:posOffset>125648</wp:posOffset>
          </wp:positionV>
          <wp:extent cx="2738120" cy="571500"/>
          <wp:effectExtent l="0" t="0" r="5080" b="0"/>
          <wp:wrapSquare wrapText="bothSides"/>
          <wp:docPr id="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12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1D6A38" w:rsidRPr="001D6A38" w:rsidRDefault="00877D22" w:rsidP="001D6A38">
    <w:pPr>
      <w:pStyle w:val="Encabezado1"/>
      <w:jc w:val="right"/>
      <w:rPr>
        <w:rFonts w:ascii="Calibri" w:hAnsi="Calibri"/>
        <w:b/>
        <w:color w:val="000000" w:themeColor="text1"/>
      </w:rPr>
    </w:pPr>
    <w:r w:rsidRPr="001D6A38">
      <w:rPr>
        <w:rFonts w:ascii="Calibri" w:hAnsi="Calibri"/>
        <w:b/>
        <w:color w:val="000000" w:themeColor="text1"/>
      </w:rPr>
      <w:t xml:space="preserve">CSAPG </w:t>
    </w:r>
    <w:r w:rsidR="001D6A38" w:rsidRPr="001D6A38">
      <w:rPr>
        <w:rFonts w:ascii="Calibri" w:hAnsi="Calibri"/>
        <w:b/>
      </w:rPr>
      <w:t>OB 2026/14</w:t>
    </w:r>
  </w:p>
  <w:p w:rsidR="001D6A38" w:rsidRPr="002D2925" w:rsidRDefault="001D6A38" w:rsidP="001D6A38">
    <w:pPr>
      <w:pStyle w:val="Encabezado"/>
      <w:jc w:val="right"/>
      <w:rPr>
        <w:rFonts w:ascii="Calibri" w:hAnsi="Calibri"/>
        <w:b/>
        <w:color w:val="0070C0"/>
      </w:rPr>
    </w:pPr>
    <w:r w:rsidRPr="002D2925">
      <w:rPr>
        <w:rFonts w:ascii="Calibri" w:hAnsi="Calibri"/>
        <w:b/>
        <w:color w:val="0070C0"/>
      </w:rPr>
      <w:t>OBRES MILLORA RESILIÈNCIA:</w:t>
    </w:r>
  </w:p>
  <w:p w:rsidR="001D6A38" w:rsidRPr="002D2925" w:rsidRDefault="001D6A38" w:rsidP="001D6A38">
    <w:pPr>
      <w:pStyle w:val="Encabezado"/>
      <w:jc w:val="right"/>
      <w:rPr>
        <w:rFonts w:ascii="Calibri" w:hAnsi="Calibri"/>
        <w:b/>
        <w:color w:val="0070C0"/>
      </w:rPr>
    </w:pPr>
    <w:r w:rsidRPr="002D2925">
      <w:rPr>
        <w:rFonts w:ascii="Calibri" w:hAnsi="Calibri"/>
        <w:b/>
        <w:color w:val="0070C0"/>
      </w:rPr>
      <w:t>INSTAL·LACIONS TÈCNIQUES</w:t>
    </w:r>
  </w:p>
  <w:p w:rsidR="001D6A38" w:rsidRDefault="001D6A38" w:rsidP="001D6A38">
    <w:pPr>
      <w:pStyle w:val="Encabezado"/>
      <w:jc w:val="right"/>
      <w:rPr>
        <w:rFonts w:ascii="Calibri" w:hAnsi="Calibri"/>
        <w:b/>
        <w:color w:val="0070C0"/>
      </w:rPr>
    </w:pPr>
    <w:r w:rsidRPr="002D2925">
      <w:rPr>
        <w:rFonts w:ascii="Calibri" w:hAnsi="Calibri"/>
        <w:b/>
        <w:color w:val="0070C0"/>
      </w:rPr>
      <w:t>HOSPITAL COMARCAL ALT PENEDÈS</w:t>
    </w:r>
  </w:p>
  <w:p w:rsidR="00C55979" w:rsidRDefault="00C55979" w:rsidP="001D6A38">
    <w:pPr>
      <w:pStyle w:val="Encabezado1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5EE5541C"/>
    <w:multiLevelType w:val="hybridMultilevel"/>
    <w:tmpl w:val="65AE59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D6A38"/>
    <w:rsid w:val="001E7117"/>
    <w:rsid w:val="00205805"/>
    <w:rsid w:val="0022590C"/>
    <w:rsid w:val="00237B0D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57E42"/>
    <w:rsid w:val="00465035"/>
    <w:rsid w:val="0046690B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1AE7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77D22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13FA4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C74BE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5B44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5F6D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24BCA5C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E55F6D"/>
  </w:style>
  <w:style w:type="paragraph" w:customStyle="1" w:styleId="ttulo31">
    <w:name w:val="ttulo31"/>
    <w:basedOn w:val="Normal"/>
    <w:rsid w:val="00877D2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8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D64F1-985C-45ED-8B9B-5FAC1284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54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16</cp:revision>
  <cp:lastPrinted>2019-06-25T14:08:00Z</cp:lastPrinted>
  <dcterms:created xsi:type="dcterms:W3CDTF">2023-01-17T09:14:00Z</dcterms:created>
  <dcterms:modified xsi:type="dcterms:W3CDTF">2026-05-26T11:11:00Z</dcterms:modified>
</cp:coreProperties>
</file>