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9E" w:rsidRPr="000E3503" w:rsidRDefault="007C109E" w:rsidP="00F55AF5">
      <w:pPr>
        <w:spacing w:after="120"/>
        <w:jc w:val="both"/>
        <w:rPr>
          <w:rFonts w:asciiTheme="minorHAnsi" w:eastAsia="Arial" w:hAnsiTheme="minorHAnsi" w:cs="Arial"/>
          <w:b/>
          <w:bCs/>
          <w:sz w:val="8"/>
          <w:szCs w:val="8"/>
          <w:lang w:eastAsia="ca-ES" w:bidi="ca-ES"/>
        </w:rPr>
      </w:pPr>
      <w:bookmarkStart w:id="0" w:name="_Toc7445656"/>
    </w:p>
    <w:p w:rsidR="00626C0C" w:rsidRDefault="000E3503" w:rsidP="00B92904">
      <w:pPr>
        <w:spacing w:after="120"/>
        <w:jc w:val="both"/>
        <w:rPr>
          <w:rFonts w:asciiTheme="minorHAnsi" w:hAnsiTheme="minorHAnsi" w:cstheme="minorHAnsi"/>
          <w:b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>
        <w:rPr>
          <w:rFonts w:asciiTheme="minorHAnsi" w:eastAsia="Arial" w:hAnsiTheme="minorHAnsi" w:cs="Arial"/>
          <w:b/>
          <w:bCs/>
          <w:lang w:eastAsia="ca-ES" w:bidi="ca-ES"/>
        </w:rPr>
        <w:t>2 PCAP -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MODEL D’OFERTA ECONÒMICA</w:t>
      </w:r>
      <w:r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Pr="000E3503">
        <w:rPr>
          <w:rFonts w:asciiTheme="minorHAnsi" w:hAnsiTheme="minorHAnsi" w:cstheme="minorHAnsi"/>
          <w:b/>
        </w:rPr>
        <w:t xml:space="preserve">SUBMINISTRAMENT DELS GASOS MEDICINALS D'ÚS SANITARI </w:t>
      </w:r>
      <w:r w:rsidR="00052297">
        <w:rPr>
          <w:rFonts w:asciiTheme="minorHAnsi" w:hAnsiTheme="minorHAnsi" w:cstheme="minorHAnsi"/>
          <w:b/>
        </w:rPr>
        <w:t xml:space="preserve">I GASOS TÈCNICS </w:t>
      </w:r>
      <w:r w:rsidRPr="000E3503">
        <w:rPr>
          <w:rFonts w:asciiTheme="minorHAnsi" w:hAnsiTheme="minorHAnsi" w:cstheme="minorHAnsi"/>
          <w:b/>
        </w:rPr>
        <w:t xml:space="preserve">ALS CENTRES SANITARIS DEL CONSORCI SANITARI DE L'ALT PENEDÈS I GARRAF (CSAPG) </w:t>
      </w:r>
      <w:r w:rsidR="00052297">
        <w:rPr>
          <w:rFonts w:asciiTheme="minorHAnsi" w:hAnsiTheme="minorHAnsi" w:cstheme="minorHAnsi"/>
          <w:b/>
        </w:rPr>
        <w:t>AIXÍ COM LA REDACCIÓ DE PROJECTE I EXECUCIÓ DE L’OBRA PER LA</w:t>
      </w:r>
      <w:r w:rsidRPr="000E3503">
        <w:rPr>
          <w:rFonts w:asciiTheme="minorHAnsi" w:hAnsiTheme="minorHAnsi" w:cstheme="minorHAnsi"/>
          <w:b/>
        </w:rPr>
        <w:t xml:space="preserve"> CONSTRUCCIÓ D'UNA NOVA CENTRAL DE PRODUCCIÓ I EMMAGATZEMATGE DE GASOS A L'HOSPITAL RESIDÈNCIA SANT CAMIL</w:t>
      </w:r>
      <w:r w:rsidR="00052297">
        <w:rPr>
          <w:rFonts w:asciiTheme="minorHAnsi" w:hAnsiTheme="minorHAnsi" w:cstheme="minorHAnsi"/>
          <w:b/>
        </w:rPr>
        <w:t xml:space="preserve"> DEL CSAPG</w:t>
      </w:r>
      <w:r w:rsidRPr="000E3503">
        <w:rPr>
          <w:rFonts w:asciiTheme="minorHAnsi" w:hAnsiTheme="minorHAnsi" w:cstheme="minorHAnsi"/>
          <w:b/>
        </w:rPr>
        <w:t>.</w:t>
      </w:r>
    </w:p>
    <w:p w:rsidR="00487EC4" w:rsidRPr="00B92904" w:rsidRDefault="00487EC4" w:rsidP="00B92904">
      <w:pPr>
        <w:spacing w:after="120"/>
        <w:jc w:val="both"/>
        <w:rPr>
          <w:rFonts w:asciiTheme="minorHAnsi" w:hAnsiTheme="minorHAnsi" w:cs="Calibri"/>
          <w:b/>
          <w:color w:val="000000"/>
          <w:lang w:eastAsia="zh-CN"/>
        </w:rPr>
      </w:pPr>
    </w:p>
    <w:p w:rsidR="00F156CD" w:rsidRDefault="007501AB" w:rsidP="00EE56A3">
      <w:pPr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B92904">
        <w:rPr>
          <w:rFonts w:asciiTheme="minorHAnsi" w:hAnsiTheme="minorHAnsi" w:cs="Arial"/>
          <w:color w:val="000000"/>
          <w:lang w:eastAsia="zh-CN"/>
        </w:rPr>
        <w:t xml:space="preserve">pel </w:t>
      </w:r>
      <w:r w:rsidR="000E3503">
        <w:rPr>
          <w:rFonts w:asciiTheme="minorHAnsi" w:hAnsiTheme="minorHAnsi" w:cstheme="minorHAnsi"/>
          <w:b/>
        </w:rPr>
        <w:t>s</w:t>
      </w:r>
      <w:r w:rsidR="000E3503" w:rsidRPr="000E3503">
        <w:rPr>
          <w:rFonts w:asciiTheme="minorHAnsi" w:hAnsiTheme="minorHAnsi" w:cstheme="minorHAnsi"/>
          <w:b/>
        </w:rPr>
        <w:t xml:space="preserve">ubministrament dels gasos medicinals d'ús sanitari i </w:t>
      </w:r>
      <w:r w:rsidR="00052297">
        <w:rPr>
          <w:rFonts w:asciiTheme="minorHAnsi" w:hAnsiTheme="minorHAnsi" w:cstheme="minorHAnsi"/>
          <w:b/>
        </w:rPr>
        <w:t>gasos tècnics</w:t>
      </w:r>
      <w:r w:rsidR="000E3503" w:rsidRPr="000E3503">
        <w:rPr>
          <w:rFonts w:asciiTheme="minorHAnsi" w:hAnsiTheme="minorHAnsi" w:cstheme="minorHAnsi"/>
          <w:b/>
        </w:rPr>
        <w:t xml:space="preserve"> </w:t>
      </w:r>
      <w:proofErr w:type="spellStart"/>
      <w:r w:rsidR="000E3503" w:rsidRPr="000E3503">
        <w:rPr>
          <w:rFonts w:asciiTheme="minorHAnsi" w:hAnsiTheme="minorHAnsi" w:cstheme="minorHAnsi"/>
          <w:b/>
        </w:rPr>
        <w:t>als</w:t>
      </w:r>
      <w:proofErr w:type="spellEnd"/>
      <w:r w:rsidR="000E3503" w:rsidRPr="000E3503">
        <w:rPr>
          <w:rFonts w:asciiTheme="minorHAnsi" w:hAnsiTheme="minorHAnsi" w:cstheme="minorHAnsi"/>
          <w:b/>
        </w:rPr>
        <w:t xml:space="preserve"> centres sanitaris del Consorci Sanitari de l'Alt Penedès i Garraf (CSAPG) i </w:t>
      </w:r>
      <w:r w:rsidR="00052297">
        <w:rPr>
          <w:rFonts w:asciiTheme="minorHAnsi" w:hAnsiTheme="minorHAnsi" w:cstheme="minorHAnsi"/>
          <w:b/>
        </w:rPr>
        <w:t xml:space="preserve">redacció de projecte i execució de l’obra per la </w:t>
      </w:r>
      <w:r w:rsidR="000E3503" w:rsidRPr="000E3503">
        <w:rPr>
          <w:rFonts w:asciiTheme="minorHAnsi" w:hAnsiTheme="minorHAnsi" w:cstheme="minorHAnsi"/>
          <w:b/>
        </w:rPr>
        <w:t xml:space="preserve">construcció d'una nova central de producció i emmagatzematge de gasos a l'Hospital Residència Sant Camil </w:t>
      </w:r>
      <w:r w:rsidR="00052297">
        <w:rPr>
          <w:rFonts w:asciiTheme="minorHAnsi" w:hAnsiTheme="minorHAnsi" w:cstheme="minorHAnsi"/>
          <w:b/>
        </w:rPr>
        <w:t>del CSAPG</w:t>
      </w:r>
      <w:r w:rsidR="00F13927" w:rsidRPr="00594F3C">
        <w:rPr>
          <w:rFonts w:asciiTheme="minorHAnsi" w:hAnsiTheme="minorHAnsi" w:cs="Arial"/>
          <w:b/>
          <w:color w:val="000000"/>
          <w:lang w:eastAsia="zh-CN"/>
        </w:rPr>
        <w:t>,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 xml:space="preserve">CSAPG </w:t>
      </w:r>
      <w:r w:rsidR="006D0CAD">
        <w:rPr>
          <w:rFonts w:asciiTheme="minorHAnsi" w:hAnsiTheme="minorHAnsi" w:cs="Calibri"/>
          <w:b/>
          <w:color w:val="000000"/>
          <w:lang w:eastAsia="zh-CN"/>
        </w:rPr>
        <w:t xml:space="preserve">OB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>20</w:t>
      </w:r>
      <w:r w:rsidR="00594F3C">
        <w:rPr>
          <w:rFonts w:asciiTheme="minorHAnsi" w:hAnsiTheme="minorHAnsi" w:cs="Calibri"/>
          <w:b/>
          <w:color w:val="000000"/>
          <w:lang w:eastAsia="zh-CN"/>
        </w:rPr>
        <w:t>2</w:t>
      </w:r>
      <w:r w:rsidR="0006017F">
        <w:rPr>
          <w:rFonts w:asciiTheme="minorHAnsi" w:hAnsiTheme="minorHAnsi" w:cs="Calibri"/>
          <w:b/>
          <w:color w:val="000000"/>
          <w:lang w:eastAsia="zh-CN"/>
        </w:rPr>
        <w:t>6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052297">
        <w:rPr>
          <w:rFonts w:asciiTheme="minorHAnsi" w:hAnsiTheme="minorHAnsi" w:cs="Calibri"/>
          <w:b/>
          <w:color w:val="000000"/>
          <w:lang w:eastAsia="zh-CN"/>
        </w:rPr>
        <w:t>11</w:t>
      </w:r>
      <w:r w:rsidRPr="007501AB">
        <w:rPr>
          <w:rFonts w:asciiTheme="minorHAnsi" w:hAnsiTheme="minorHAnsi" w:cs="Calibri"/>
          <w:color w:val="000000"/>
          <w:lang w:eastAsia="zh-CN"/>
        </w:rPr>
        <w:t>,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:rsidR="00487EC4" w:rsidRDefault="00487EC4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838"/>
        <w:gridCol w:w="1834"/>
        <w:gridCol w:w="1575"/>
        <w:gridCol w:w="1480"/>
        <w:gridCol w:w="1951"/>
      </w:tblGrid>
      <w:tr w:rsidR="00141708" w:rsidRPr="002F4D89" w:rsidTr="00177B68">
        <w:trPr>
          <w:trHeight w:val="492"/>
        </w:trPr>
        <w:tc>
          <w:tcPr>
            <w:tcW w:w="1838" w:type="dxa"/>
            <w:shd w:val="clear" w:color="auto" w:fill="C6D9F1" w:themeFill="text2" w:themeFillTint="33"/>
            <w:vAlign w:val="center"/>
          </w:tcPr>
          <w:p w:rsidR="00141708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834" w:type="dxa"/>
            <w:shd w:val="clear" w:color="auto" w:fill="C6D9F1" w:themeFill="text2" w:themeFillTint="33"/>
            <w:vAlign w:val="center"/>
          </w:tcPr>
          <w:p w:rsidR="00141708" w:rsidRPr="0022590C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</w:p>
          <w:p w:rsidR="00141708" w:rsidRPr="0022590C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C6D9F1" w:themeFill="text2" w:themeFillTint="33"/>
            <w:vAlign w:val="center"/>
          </w:tcPr>
          <w:p w:rsidR="00141708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</w:p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C6D9F1" w:themeFill="text2" w:themeFillTint="33"/>
            <w:vAlign w:val="center"/>
          </w:tcPr>
          <w:p w:rsidR="00141708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C6D9F1" w:themeFill="text2" w:themeFillTint="33"/>
            <w:vAlign w:val="center"/>
          </w:tcPr>
          <w:p w:rsidR="000E3503" w:rsidRDefault="00141708" w:rsidP="000E350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</w:t>
            </w:r>
            <w:r w:rsidR="00B9290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GLOBAL </w:t>
            </w:r>
          </w:p>
          <w:p w:rsidR="00141708" w:rsidRPr="002F4D89" w:rsidRDefault="00141708" w:rsidP="000E350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141708" w:rsidRPr="002F4D89" w:rsidTr="00177B68">
        <w:trPr>
          <w:trHeight w:val="410"/>
        </w:trPr>
        <w:tc>
          <w:tcPr>
            <w:tcW w:w="1838" w:type="dxa"/>
            <w:vAlign w:val="center"/>
          </w:tcPr>
          <w:p w:rsidR="00141708" w:rsidRPr="002F4D89" w:rsidRDefault="00141708" w:rsidP="000E3503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de </w:t>
            </w:r>
            <w:r w:rsidR="000522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la redacció de projecte i execució de l’</w:t>
            </w:r>
            <w:bookmarkStart w:id="1" w:name="_GoBack"/>
            <w:bookmarkEnd w:id="1"/>
            <w:r w:rsidR="000E350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obra</w:t>
            </w:r>
          </w:p>
        </w:tc>
        <w:tc>
          <w:tcPr>
            <w:tcW w:w="1834" w:type="dxa"/>
            <w:vAlign w:val="center"/>
          </w:tcPr>
          <w:p w:rsidR="00141708" w:rsidRPr="000E3503" w:rsidRDefault="00177B68" w:rsidP="00D140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E3503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="000E3503" w:rsidRPr="000E3503">
              <w:rPr>
                <w:rFonts w:ascii="Calibri" w:hAnsi="Calibri" w:cs="Calibri"/>
                <w:b/>
                <w:color w:val="FF0000"/>
              </w:rPr>
              <w:t>446.994,56 €</w:t>
            </w:r>
          </w:p>
        </w:tc>
        <w:tc>
          <w:tcPr>
            <w:tcW w:w="1575" w:type="dxa"/>
            <w:vAlign w:val="center"/>
          </w:tcPr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141708" w:rsidRPr="002F4D89" w:rsidRDefault="00141708" w:rsidP="00D140F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141708" w:rsidRDefault="00141708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0A5EDC" w:rsidRDefault="000A5EDC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W w:w="864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275"/>
        <w:gridCol w:w="1276"/>
      </w:tblGrid>
      <w:tr w:rsidR="000E3503" w:rsidRPr="000E3503" w:rsidTr="000E3503">
        <w:trPr>
          <w:trHeight w:val="510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E3503">
              <w:rPr>
                <w:rFonts w:ascii="Calibri" w:hAnsi="Calibri" w:cs="Calibri"/>
                <w:b/>
                <w:bCs/>
                <w:sz w:val="20"/>
                <w:szCs w:val="20"/>
              </w:rPr>
              <w:t>Criteris automàtics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0E3503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Preu unitari màxim (sense IVA)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3503">
              <w:rPr>
                <w:rFonts w:ascii="Calibri" w:hAnsi="Calibri" w:cs="Calibri"/>
                <w:b/>
                <w:bCs/>
                <w:sz w:val="24"/>
                <w:szCs w:val="24"/>
              </w:rPr>
              <w:t>Preu unitari ofert</w:t>
            </w:r>
          </w:p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3503">
              <w:rPr>
                <w:rFonts w:ascii="Calibri" w:hAnsi="Calibri" w:cs="Calibri"/>
                <w:b/>
                <w:bCs/>
                <w:sz w:val="24"/>
                <w:szCs w:val="24"/>
              </w:rPr>
              <w:t>(sense IVA)</w:t>
            </w: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Oxigen líquid medicinal. Dipòsit. m</w:t>
            </w:r>
            <w:r w:rsidRPr="000E3503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0,55 €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Nitrogen líquid medicinal. Dipòsit. m</w:t>
            </w:r>
            <w:r w:rsidRPr="000E3503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0,55 €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Oxigen medicinal comprimit. Ampolla. 10,6 m</w:t>
            </w:r>
            <w:r w:rsidRPr="000E3503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  <w:r w:rsidRPr="000E3503">
              <w:rPr>
                <w:rFonts w:ascii="Calibri" w:hAnsi="Calibri" w:cs="Calibri"/>
                <w:sz w:val="20"/>
                <w:szCs w:val="20"/>
              </w:rPr>
              <w:t xml:space="preserve"> - 50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22,50 €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Oxigen medicinal comprimit. Ampolla. 4,24 m</w:t>
            </w:r>
            <w:r w:rsidRPr="000E3503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  <w:r w:rsidRPr="000E3503">
              <w:rPr>
                <w:rFonts w:ascii="Calibri" w:hAnsi="Calibri" w:cs="Calibri"/>
                <w:sz w:val="20"/>
                <w:szCs w:val="20"/>
              </w:rPr>
              <w:t xml:space="preserve"> - 20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19,00 €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Oxigen medicinal comprimit. Ampolla. 10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20,50 €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Oxigen medicinal comprimit. Ampolla (amb manoreductor i cabalímetre 0-15 l/min.), 5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16,50 €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lastRenderedPageBreak/>
              <w:t>Aire medicinal comprimit. Ampolla. 50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36,00 €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38368B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Diòxid de carboni per laparoscòpia, colonoscòpia i altres indicacions. Ampolla. 50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380,00 €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Diòxid de carboni sanitari per laparoscòpia, colonoscòpia i altres indicacions. Ampolla. 10 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38368B" w:rsidP="0038368B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</w:t>
            </w:r>
            <w:r w:rsidR="000E3503"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8,00 €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E3503">
              <w:rPr>
                <w:rFonts w:ascii="Calibri" w:hAnsi="Calibri" w:cs="Calibri"/>
                <w:sz w:val="20"/>
                <w:szCs w:val="20"/>
              </w:rPr>
              <w:t>Protòxid</w:t>
            </w:r>
            <w:proofErr w:type="spellEnd"/>
            <w:r w:rsidRPr="000E3503">
              <w:rPr>
                <w:rFonts w:ascii="Calibri" w:hAnsi="Calibri" w:cs="Calibri"/>
                <w:sz w:val="20"/>
                <w:szCs w:val="20"/>
              </w:rPr>
              <w:t xml:space="preserve"> de nitrogen. Ampolla. 37,5 kg - 50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235,00 €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Nitrogen líquid medicinal. Recipient sense pressió. Litre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5,25 €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Mescla gas comprimit medicinal 50% òxid nitrós i 50% oxigen medicinal. Ampolla. 5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275,00 €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Servei producció aire medicinal + motriu. Quota mensual per centre. HSAA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675,00 €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Servei producció aire motriu. Quota mensual per centre. HCAP I HRSC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400,00 €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Servei producció buit. Quota mensual per centre. HCAP, HRSC I HSAA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250,00 €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503" w:rsidRPr="000E3503" w:rsidTr="000E3503">
        <w:trPr>
          <w:trHeight w:val="5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rPr>
                <w:rFonts w:ascii="Calibri" w:hAnsi="Calibri" w:cs="Calibri"/>
                <w:sz w:val="20"/>
                <w:szCs w:val="20"/>
              </w:rPr>
            </w:pPr>
            <w:r w:rsidRPr="000E3503">
              <w:rPr>
                <w:rFonts w:ascii="Calibri" w:hAnsi="Calibri" w:cs="Calibri"/>
                <w:sz w:val="20"/>
                <w:szCs w:val="20"/>
              </w:rPr>
              <w:t>Servei centrals gasos medicinals. Quota mensual per centre.  HCAP, HRSC I HSAA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E3503">
              <w:rPr>
                <w:rFonts w:ascii="Calibri" w:hAnsi="Calibri" w:cs="Calibri"/>
                <w:color w:val="FF0000"/>
                <w:sz w:val="20"/>
                <w:szCs w:val="20"/>
              </w:rPr>
              <w:t>200,00 €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03" w:rsidRPr="000E3503" w:rsidRDefault="000E3503" w:rsidP="000E35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E3503" w:rsidRDefault="000E3503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487EC4" w:rsidRDefault="00487EC4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394B45" w:rsidRPr="00296D56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FF18D0">
        <w:rPr>
          <w:rFonts w:ascii="Arial" w:hAnsi="Arial" w:cs="Arial"/>
          <w:i/>
          <w:sz w:val="18"/>
          <w:szCs w:val="18"/>
        </w:rPr>
        <w:t>quedaran excloses del procediment de licitació les ofertes que pre</w:t>
      </w:r>
      <w:r w:rsidR="000E3503">
        <w:rPr>
          <w:rFonts w:ascii="Arial" w:hAnsi="Arial" w:cs="Arial"/>
          <w:i/>
          <w:sz w:val="18"/>
          <w:szCs w:val="18"/>
        </w:rPr>
        <w:t xml:space="preserve">sentin un import superior al preu </w:t>
      </w:r>
      <w:r w:rsidR="000A2DCE">
        <w:rPr>
          <w:rFonts w:ascii="Arial" w:hAnsi="Arial" w:cs="Arial"/>
          <w:i/>
          <w:sz w:val="18"/>
          <w:szCs w:val="18"/>
        </w:rPr>
        <w:t>unitari</w:t>
      </w:r>
      <w:r w:rsidRPr="00FF18D0">
        <w:rPr>
          <w:rFonts w:ascii="Arial" w:hAnsi="Arial" w:cs="Arial"/>
          <w:i/>
          <w:sz w:val="18"/>
          <w:szCs w:val="18"/>
        </w:rPr>
        <w:t>)</w:t>
      </w:r>
    </w:p>
    <w:p w:rsidR="00394B45" w:rsidRDefault="00394B45" w:rsidP="00394B45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p w:rsidR="000A5EDC" w:rsidRDefault="000A5ED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0E3503" w:rsidRPr="001122E1" w:rsidRDefault="000E3503" w:rsidP="000E3503">
      <w:pPr>
        <w:pStyle w:val="ttulo31"/>
        <w:tabs>
          <w:tab w:val="left" w:pos="426"/>
        </w:tabs>
        <w:spacing w:before="0" w:beforeAutospacing="0" w:after="120" w:afterAutospacing="0" w:line="276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071B49">
        <w:rPr>
          <w:rStyle w:val="msoins0"/>
          <w:rFonts w:ascii="Calibri" w:hAnsi="Calibri" w:cs="Calibri"/>
          <w:sz w:val="22"/>
          <w:szCs w:val="22"/>
          <w:lang w:val="ca-ES"/>
        </w:rPr>
        <w:t>Pel que fa a l’oferta econòmica, el</w:t>
      </w:r>
      <w:r w:rsidRPr="00071B49">
        <w:rPr>
          <w:rFonts w:ascii="Calibri" w:hAnsi="Calibri" w:cs="Calibri"/>
          <w:sz w:val="22"/>
          <w:szCs w:val="22"/>
          <w:lang w:val="ca-ES"/>
        </w:rPr>
        <w:t>s </w:t>
      </w:r>
      <w:r w:rsidRPr="00071B49">
        <w:rPr>
          <w:rStyle w:val="msoins0"/>
          <w:rFonts w:ascii="Calibri" w:hAnsi="Calibri" w:cs="Calibri"/>
          <w:sz w:val="22"/>
          <w:szCs w:val="22"/>
          <w:lang w:val="ca-ES"/>
        </w:rPr>
        <w:t xml:space="preserve">licitadors faran constar l'import global de l'oferta i inclouran també el preu unitari de cada tipologia de producte d’acord amb el 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 xml:space="preserve">present </w:t>
      </w:r>
      <w:r w:rsidRPr="00071B49">
        <w:rPr>
          <w:rStyle w:val="msoins0"/>
          <w:rFonts w:ascii="Calibri" w:hAnsi="Calibri" w:cs="Calibri"/>
          <w:sz w:val="22"/>
          <w:szCs w:val="22"/>
          <w:lang w:val="ca-ES"/>
        </w:rPr>
        <w:t xml:space="preserve">document. Serà objecte de valoració 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>cadascun dels ítems indicats en les dues taules anteriors, d’acord amb la puntuació màxima a atorgar per a cadascun d’ells.</w:t>
      </w:r>
    </w:p>
    <w:p w:rsidR="000A5EDC" w:rsidRDefault="000A5ED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0E3503" w:rsidRDefault="000E3503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102561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102561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102561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8A07F0">
      <w:pPr>
        <w:tabs>
          <w:tab w:val="left" w:pos="2167"/>
        </w:tabs>
        <w:suppressAutoHyphens/>
        <w:autoSpaceDE w:val="0"/>
        <w:spacing w:line="360" w:lineRule="auto"/>
        <w:jc w:val="center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102561" w:rsidRPr="002F4D89" w:rsidRDefault="007D2E99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>
        <w:rPr>
          <w:rFonts w:asciiTheme="minorHAnsi" w:hAnsiTheme="minorHAnsi" w:cs="Arial"/>
          <w:lang w:eastAsia="zh-CN"/>
        </w:rPr>
        <w:t>Lloc i data</w:t>
      </w:r>
    </w:p>
    <w:sectPr w:rsidR="00102561" w:rsidRPr="002F4D89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eastAsia="ca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r>
      <w:rPr>
        <w:rFonts w:asciiTheme="minorHAnsi" w:hAnsiTheme="minorHAnsi" w:cstheme="minorHAnsi"/>
        <w:color w:val="000000" w:themeColor="text1"/>
        <w:sz w:val="18"/>
        <w:szCs w:val="18"/>
      </w:rPr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052297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052297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487EC4" w:rsidRDefault="00487EC4" w:rsidP="00B92904">
    <w:pPr>
      <w:overflowPunct w:val="0"/>
      <w:jc w:val="right"/>
      <w:rPr>
        <w:rFonts w:asciiTheme="minorHAnsi" w:hAnsiTheme="minorHAnsi" w:cstheme="minorHAnsi"/>
        <w:b/>
      </w:rPr>
    </w:pPr>
  </w:p>
  <w:p w:rsidR="0006017F" w:rsidRDefault="0006017F" w:rsidP="0006017F">
    <w:pPr>
      <w:overflowPunct w:val="0"/>
      <w:jc w:val="right"/>
      <w:rPr>
        <w:rFonts w:asciiTheme="minorHAnsi" w:hAnsiTheme="minorHAnsi" w:cstheme="minorHAnsi"/>
        <w:b/>
      </w:rPr>
    </w:pPr>
    <w:r w:rsidRPr="004B4D66">
      <w:rPr>
        <w:rFonts w:asciiTheme="minorHAnsi" w:eastAsia="Calibri" w:hAnsiTheme="minorHAnsi" w:cstheme="minorHAnsi"/>
        <w:b/>
        <w:noProof/>
        <w:sz w:val="24"/>
        <w:szCs w:val="24"/>
        <w:lang w:eastAsia="ca-ES"/>
      </w:rPr>
      <w:drawing>
        <wp:anchor distT="0" distB="0" distL="114300" distR="114300" simplePos="0" relativeHeight="251661312" behindDoc="0" locked="0" layoutInCell="1" allowOverlap="1" wp14:anchorId="0E57F6A3" wp14:editId="5F9D8685">
          <wp:simplePos x="0" y="0"/>
          <wp:positionH relativeFrom="margin">
            <wp:posOffset>75565</wp:posOffset>
          </wp:positionH>
          <wp:positionV relativeFrom="paragraph">
            <wp:posOffset>92710</wp:posOffset>
          </wp:positionV>
          <wp:extent cx="2186940" cy="455295"/>
          <wp:effectExtent l="0" t="0" r="3810" b="1905"/>
          <wp:wrapSquare wrapText="bothSides"/>
          <wp:docPr id="13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694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3503" w:rsidRPr="004B4D66" w:rsidRDefault="00970301" w:rsidP="000E3503">
    <w:pPr>
      <w:overflowPunct w:val="0"/>
      <w:jc w:val="right"/>
      <w:rPr>
        <w:rFonts w:ascii="Calibri" w:eastAsia="SimSun" w:hAnsi="Calibri" w:cs="Lucida Sans"/>
        <w:b/>
        <w:bCs/>
        <w:kern w:val="1"/>
        <w:sz w:val="24"/>
        <w:szCs w:val="24"/>
        <w:lang w:bidi="hi-IN"/>
      </w:rPr>
    </w:pPr>
    <w:r w:rsidRPr="008E0539">
      <w:rPr>
        <w:rFonts w:asciiTheme="minorHAnsi" w:hAnsiTheme="minorHAnsi" w:cstheme="minorHAnsi"/>
        <w:b/>
      </w:rPr>
      <w:t>EXP</w:t>
    </w:r>
    <w:r w:rsidR="000E3503" w:rsidRPr="000E3503">
      <w:rPr>
        <w:rFonts w:asciiTheme="minorHAnsi" w:hAnsiTheme="minorHAnsi" w:cstheme="minorHAnsi"/>
        <w:b/>
        <w:bCs/>
        <w:sz w:val="24"/>
        <w:szCs w:val="24"/>
      </w:rPr>
      <w:t xml:space="preserve"> </w:t>
    </w:r>
    <w:r w:rsidR="000E3503" w:rsidRPr="00342C62">
      <w:rPr>
        <w:rFonts w:asciiTheme="minorHAnsi" w:hAnsiTheme="minorHAnsi" w:cstheme="minorHAnsi"/>
        <w:b/>
        <w:bCs/>
        <w:sz w:val="24"/>
        <w:szCs w:val="24"/>
      </w:rPr>
      <w:t>CSAPG OB 202</w:t>
    </w:r>
    <w:r w:rsidR="000E3503">
      <w:rPr>
        <w:rFonts w:asciiTheme="minorHAnsi" w:hAnsiTheme="minorHAnsi" w:cstheme="minorHAnsi"/>
        <w:b/>
        <w:bCs/>
        <w:sz w:val="24"/>
        <w:szCs w:val="24"/>
      </w:rPr>
      <w:t>6</w:t>
    </w:r>
    <w:r w:rsidR="000E3503" w:rsidRPr="00342C62">
      <w:rPr>
        <w:rFonts w:asciiTheme="minorHAnsi" w:hAnsiTheme="minorHAnsi" w:cstheme="minorHAnsi"/>
        <w:b/>
        <w:bCs/>
        <w:sz w:val="24"/>
        <w:szCs w:val="24"/>
      </w:rPr>
      <w:t>/</w:t>
    </w:r>
    <w:r w:rsidR="00052297">
      <w:rPr>
        <w:rFonts w:asciiTheme="minorHAnsi" w:hAnsiTheme="minorHAnsi" w:cstheme="minorHAnsi"/>
        <w:b/>
        <w:bCs/>
        <w:sz w:val="24"/>
        <w:szCs w:val="24"/>
      </w:rPr>
      <w:t>11</w:t>
    </w:r>
  </w:p>
  <w:p w:rsidR="000E3503" w:rsidRPr="002B5EC7" w:rsidRDefault="000E3503" w:rsidP="000E3503">
    <w:pPr>
      <w:overflowPunct w:val="0"/>
      <w:jc w:val="right"/>
      <w:rPr>
        <w:rFonts w:ascii="Calibri" w:hAnsi="Calibri"/>
        <w:b/>
        <w:color w:val="31849B" w:themeColor="accent5" w:themeShade="BF"/>
        <w:sz w:val="24"/>
        <w:szCs w:val="24"/>
      </w:rPr>
    </w:pPr>
    <w:r w:rsidRPr="002B5EC7">
      <w:rPr>
        <w:rFonts w:ascii="Calibri" w:hAnsi="Calibri"/>
        <w:b/>
        <w:color w:val="31849B" w:themeColor="accent5" w:themeShade="BF"/>
        <w:sz w:val="24"/>
        <w:szCs w:val="24"/>
      </w:rPr>
      <w:t>SUBMINISTRAMENT DE GASOS MEDICINALS</w:t>
    </w:r>
  </w:p>
  <w:p w:rsidR="000E3503" w:rsidRPr="002B5EC7" w:rsidRDefault="000E3503" w:rsidP="000E3503">
    <w:pPr>
      <w:overflowPunct w:val="0"/>
      <w:jc w:val="right"/>
      <w:rPr>
        <w:rFonts w:ascii="Calibri" w:hAnsi="Calibri"/>
        <w:b/>
        <w:color w:val="31849B" w:themeColor="accent5" w:themeShade="BF"/>
        <w:sz w:val="24"/>
        <w:szCs w:val="24"/>
      </w:rPr>
    </w:pPr>
    <w:r w:rsidRPr="002B5EC7">
      <w:rPr>
        <w:rFonts w:ascii="Calibri" w:hAnsi="Calibri"/>
        <w:b/>
        <w:color w:val="31849B" w:themeColor="accent5" w:themeShade="BF"/>
        <w:sz w:val="24"/>
        <w:szCs w:val="24"/>
      </w:rPr>
      <w:t>I INDUSTRIALS ALS CENTRES CSAPG</w:t>
    </w:r>
  </w:p>
  <w:p w:rsidR="000E3503" w:rsidRPr="002B5EC7" w:rsidRDefault="000E3503" w:rsidP="000E3503">
    <w:pPr>
      <w:overflowPunct w:val="0"/>
      <w:jc w:val="right"/>
      <w:rPr>
        <w:rFonts w:ascii="Calibri" w:hAnsi="Calibri"/>
        <w:b/>
        <w:color w:val="31849B" w:themeColor="accent5" w:themeShade="BF"/>
        <w:sz w:val="24"/>
        <w:szCs w:val="24"/>
      </w:rPr>
    </w:pPr>
    <w:r w:rsidRPr="002B5EC7">
      <w:rPr>
        <w:rFonts w:ascii="Calibri" w:hAnsi="Calibri"/>
        <w:b/>
        <w:color w:val="31849B" w:themeColor="accent5" w:themeShade="BF"/>
        <w:sz w:val="24"/>
        <w:szCs w:val="24"/>
      </w:rPr>
      <w:t>NOVA CENTRAL DE GASOS MEDICINALS</w:t>
    </w:r>
  </w:p>
  <w:p w:rsidR="00C55979" w:rsidRPr="000E3503" w:rsidRDefault="000E3503" w:rsidP="000E3503">
    <w:pPr>
      <w:overflowPunct w:val="0"/>
      <w:jc w:val="right"/>
      <w:rPr>
        <w:lang w:eastAsia="ca-ES"/>
      </w:rPr>
    </w:pPr>
    <w:r w:rsidRPr="002B5EC7">
      <w:rPr>
        <w:rFonts w:ascii="Calibri" w:hAnsi="Calibri"/>
        <w:b/>
        <w:color w:val="31849B" w:themeColor="accent5" w:themeShade="BF"/>
        <w:sz w:val="24"/>
        <w:szCs w:val="24"/>
      </w:rPr>
      <w:t>HOSPITAL RESIDÈNCIA SANT CAMIL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1719E"/>
    <w:rsid w:val="00051B5C"/>
    <w:rsid w:val="00052297"/>
    <w:rsid w:val="0006017F"/>
    <w:rsid w:val="00061091"/>
    <w:rsid w:val="000777BD"/>
    <w:rsid w:val="000835AF"/>
    <w:rsid w:val="00084DC3"/>
    <w:rsid w:val="000A05B0"/>
    <w:rsid w:val="000A2DCE"/>
    <w:rsid w:val="000A5EDC"/>
    <w:rsid w:val="000A74A1"/>
    <w:rsid w:val="000B3534"/>
    <w:rsid w:val="000B5952"/>
    <w:rsid w:val="000C4963"/>
    <w:rsid w:val="000D2208"/>
    <w:rsid w:val="000D30FD"/>
    <w:rsid w:val="000E1A44"/>
    <w:rsid w:val="000E3503"/>
    <w:rsid w:val="00102561"/>
    <w:rsid w:val="001051D0"/>
    <w:rsid w:val="00113242"/>
    <w:rsid w:val="00141708"/>
    <w:rsid w:val="00142243"/>
    <w:rsid w:val="00144D43"/>
    <w:rsid w:val="001505D3"/>
    <w:rsid w:val="00155280"/>
    <w:rsid w:val="00156433"/>
    <w:rsid w:val="0015671E"/>
    <w:rsid w:val="0016499C"/>
    <w:rsid w:val="00177B68"/>
    <w:rsid w:val="00182AC1"/>
    <w:rsid w:val="001A5AE4"/>
    <w:rsid w:val="001B0170"/>
    <w:rsid w:val="001C3277"/>
    <w:rsid w:val="001D0201"/>
    <w:rsid w:val="001D05E7"/>
    <w:rsid w:val="001E7117"/>
    <w:rsid w:val="0022590C"/>
    <w:rsid w:val="00237B0D"/>
    <w:rsid w:val="002471D6"/>
    <w:rsid w:val="00262A94"/>
    <w:rsid w:val="002644FC"/>
    <w:rsid w:val="00270B5A"/>
    <w:rsid w:val="00273461"/>
    <w:rsid w:val="00276606"/>
    <w:rsid w:val="00284B7C"/>
    <w:rsid w:val="00284D83"/>
    <w:rsid w:val="00294D45"/>
    <w:rsid w:val="00296D56"/>
    <w:rsid w:val="00296E88"/>
    <w:rsid w:val="002C42D3"/>
    <w:rsid w:val="002D37DF"/>
    <w:rsid w:val="002E2EEB"/>
    <w:rsid w:val="002F07C7"/>
    <w:rsid w:val="002F4D89"/>
    <w:rsid w:val="0030272D"/>
    <w:rsid w:val="003232E0"/>
    <w:rsid w:val="00334C2D"/>
    <w:rsid w:val="00335258"/>
    <w:rsid w:val="0033595A"/>
    <w:rsid w:val="00354C34"/>
    <w:rsid w:val="0038368B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9C9"/>
    <w:rsid w:val="00434361"/>
    <w:rsid w:val="00437361"/>
    <w:rsid w:val="00465035"/>
    <w:rsid w:val="004725CC"/>
    <w:rsid w:val="004875F4"/>
    <w:rsid w:val="00487EC4"/>
    <w:rsid w:val="004A0B78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20B2"/>
    <w:rsid w:val="00520D61"/>
    <w:rsid w:val="00525A54"/>
    <w:rsid w:val="005357CC"/>
    <w:rsid w:val="0054746C"/>
    <w:rsid w:val="00567BC1"/>
    <w:rsid w:val="00570576"/>
    <w:rsid w:val="00594F3C"/>
    <w:rsid w:val="005968EC"/>
    <w:rsid w:val="005A171E"/>
    <w:rsid w:val="005A1CCB"/>
    <w:rsid w:val="005A52A5"/>
    <w:rsid w:val="005B0ABD"/>
    <w:rsid w:val="005C5421"/>
    <w:rsid w:val="005E1F81"/>
    <w:rsid w:val="006202CB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D0CAD"/>
    <w:rsid w:val="006E1026"/>
    <w:rsid w:val="006E23B8"/>
    <w:rsid w:val="006E4638"/>
    <w:rsid w:val="00704842"/>
    <w:rsid w:val="00746049"/>
    <w:rsid w:val="007501AB"/>
    <w:rsid w:val="00752EFC"/>
    <w:rsid w:val="0077005A"/>
    <w:rsid w:val="00771D19"/>
    <w:rsid w:val="00775C6B"/>
    <w:rsid w:val="0078032E"/>
    <w:rsid w:val="00782350"/>
    <w:rsid w:val="007920A8"/>
    <w:rsid w:val="007A1ECC"/>
    <w:rsid w:val="007B5C88"/>
    <w:rsid w:val="007C109E"/>
    <w:rsid w:val="007C7F84"/>
    <w:rsid w:val="007D1E8E"/>
    <w:rsid w:val="007D2E99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07F0"/>
    <w:rsid w:val="008A3C9B"/>
    <w:rsid w:val="008A6E1D"/>
    <w:rsid w:val="008C1567"/>
    <w:rsid w:val="008C24C4"/>
    <w:rsid w:val="008C510B"/>
    <w:rsid w:val="008C6E21"/>
    <w:rsid w:val="008D4691"/>
    <w:rsid w:val="008D77CF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0301"/>
    <w:rsid w:val="009742DB"/>
    <w:rsid w:val="00986A57"/>
    <w:rsid w:val="00995DC9"/>
    <w:rsid w:val="009B75DA"/>
    <w:rsid w:val="009C16A0"/>
    <w:rsid w:val="009D2CE4"/>
    <w:rsid w:val="009D7659"/>
    <w:rsid w:val="009F2D7E"/>
    <w:rsid w:val="00A15E64"/>
    <w:rsid w:val="00A16D31"/>
    <w:rsid w:val="00A463DB"/>
    <w:rsid w:val="00A46D2E"/>
    <w:rsid w:val="00A47906"/>
    <w:rsid w:val="00A774CB"/>
    <w:rsid w:val="00A824D9"/>
    <w:rsid w:val="00A85444"/>
    <w:rsid w:val="00A91A45"/>
    <w:rsid w:val="00A9761D"/>
    <w:rsid w:val="00AA2265"/>
    <w:rsid w:val="00AB6B6C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2904"/>
    <w:rsid w:val="00B96808"/>
    <w:rsid w:val="00BA5DDE"/>
    <w:rsid w:val="00BB2709"/>
    <w:rsid w:val="00BB3346"/>
    <w:rsid w:val="00BB7A6D"/>
    <w:rsid w:val="00BD0AF3"/>
    <w:rsid w:val="00BE1B8B"/>
    <w:rsid w:val="00BE4865"/>
    <w:rsid w:val="00BE4DFF"/>
    <w:rsid w:val="00C2360F"/>
    <w:rsid w:val="00C2446F"/>
    <w:rsid w:val="00C306FF"/>
    <w:rsid w:val="00C43002"/>
    <w:rsid w:val="00C55979"/>
    <w:rsid w:val="00C56710"/>
    <w:rsid w:val="00C6460C"/>
    <w:rsid w:val="00C813D6"/>
    <w:rsid w:val="00C853BF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76B15"/>
    <w:rsid w:val="00DB599A"/>
    <w:rsid w:val="00DD1AC7"/>
    <w:rsid w:val="00DF497F"/>
    <w:rsid w:val="00DF743C"/>
    <w:rsid w:val="00DF7B4F"/>
    <w:rsid w:val="00E007D6"/>
    <w:rsid w:val="00E02FAB"/>
    <w:rsid w:val="00E30DDB"/>
    <w:rsid w:val="00E37F7C"/>
    <w:rsid w:val="00E402FE"/>
    <w:rsid w:val="00E50A6B"/>
    <w:rsid w:val="00E50F48"/>
    <w:rsid w:val="00E525AB"/>
    <w:rsid w:val="00E73FBF"/>
    <w:rsid w:val="00E74A29"/>
    <w:rsid w:val="00E81B65"/>
    <w:rsid w:val="00E939E0"/>
    <w:rsid w:val="00E93E39"/>
    <w:rsid w:val="00E9537D"/>
    <w:rsid w:val="00E976D8"/>
    <w:rsid w:val="00EB5CB8"/>
    <w:rsid w:val="00ED3AA3"/>
    <w:rsid w:val="00ED517E"/>
    <w:rsid w:val="00EE02CF"/>
    <w:rsid w:val="00EE03BF"/>
    <w:rsid w:val="00EE56A3"/>
    <w:rsid w:val="00EF16C3"/>
    <w:rsid w:val="00EF4BF8"/>
    <w:rsid w:val="00F072D7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B7FC2"/>
    <w:rsid w:val="00FD2C21"/>
    <w:rsid w:val="00FD5545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31399EBC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970301"/>
  </w:style>
  <w:style w:type="paragraph" w:customStyle="1" w:styleId="ttulo31">
    <w:name w:val="ttulo31"/>
    <w:basedOn w:val="Normal"/>
    <w:rsid w:val="00B9290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B9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2026A-0D44-4AA1-B104-AC055C52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</Template>
  <TotalTime>4</TotalTime>
  <Pages>2</Pages>
  <Words>488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Andrea Cerdán Rocas</cp:lastModifiedBy>
  <cp:revision>3</cp:revision>
  <cp:lastPrinted>2019-06-25T14:08:00Z</cp:lastPrinted>
  <dcterms:created xsi:type="dcterms:W3CDTF">2026-03-19T14:50:00Z</dcterms:created>
  <dcterms:modified xsi:type="dcterms:W3CDTF">2026-04-16T08:28:00Z</dcterms:modified>
</cp:coreProperties>
</file>