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FB5C" w14:textId="77777777" w:rsidR="002D70BC" w:rsidRDefault="002D70BC" w:rsidP="002D70BC">
      <w:pPr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</w:p>
    <w:p w14:paraId="7733D6C1" w14:textId="77777777" w:rsidR="002D70BC" w:rsidRDefault="002D70BC" w:rsidP="002D70BC">
      <w:pPr>
        <w:pStyle w:val="Sinespaciado"/>
        <w:outlineLvl w:val="0"/>
        <w:rPr>
          <w:rFonts w:ascii="Verdana" w:hAnsi="Verdana" w:cs="Times New Roman"/>
          <w:bCs/>
          <w:lang w:eastAsia="ca-ES"/>
        </w:rPr>
      </w:pPr>
      <w:bookmarkStart w:id="0" w:name="_Toc220934081"/>
      <w:r>
        <w:rPr>
          <w:rFonts w:ascii="Verdana" w:eastAsia="Formata Regular" w:hAnsi="Verdana"/>
          <w:b/>
          <w:bCs/>
          <w:lang w:eastAsia="ca-ES"/>
        </w:rPr>
        <w:t>ANNEX 2</w:t>
      </w:r>
      <w:r>
        <w:rPr>
          <w:rFonts w:ascii="Verdana" w:eastAsia="Formata Regular" w:hAnsi="Verdana"/>
          <w:lang w:eastAsia="ca-ES"/>
        </w:rPr>
        <w:t xml:space="preserve">  </w:t>
      </w:r>
      <w:r>
        <w:rPr>
          <w:rFonts w:ascii="Verdana" w:hAnsi="Verdana" w:cs="Times New Roman"/>
          <w:bCs/>
          <w:lang w:eastAsia="ca-ES"/>
        </w:rPr>
        <w:t>MODEL D’OFERTA ECONÒMICA (sobre B)</w:t>
      </w:r>
      <w:bookmarkEnd w:id="0"/>
    </w:p>
    <w:p w14:paraId="1AC29E41" w14:textId="77777777" w:rsidR="002D70BC" w:rsidRDefault="002D70BC" w:rsidP="002D70BC">
      <w:pPr>
        <w:jc w:val="left"/>
        <w:rPr>
          <w:rFonts w:ascii="Verdana" w:hAnsi="Verdana" w:cs="Times New Roman"/>
          <w:sz w:val="16"/>
          <w:szCs w:val="16"/>
        </w:rPr>
      </w:pPr>
    </w:p>
    <w:p w14:paraId="373DEC12" w14:textId="77777777" w:rsidR="002D70BC" w:rsidRDefault="002D70BC" w:rsidP="002D70BC">
      <w:pPr>
        <w:pStyle w:val="Sinespaciado"/>
        <w:rPr>
          <w:rFonts w:ascii="Verdana" w:eastAsia="Arial" w:hAnsi="Verdana"/>
        </w:rPr>
      </w:pPr>
      <w:r>
        <w:rPr>
          <w:rFonts w:ascii="Verdana" w:eastAsia="Arial" w:hAnsi="Verdana"/>
        </w:rPr>
        <w:t xml:space="preserve">MODEL D’OFERTA ECONÒMICA _ LOT 2 REPARACIÓ, MANTENIMENT I </w:t>
      </w:r>
      <w:r>
        <w:rPr>
          <w:rFonts w:ascii="Verdana" w:hAnsi="Verdana"/>
        </w:rPr>
        <w:t>CONSERVACIÓ</w:t>
      </w:r>
      <w:r>
        <w:rPr>
          <w:rFonts w:ascii="Verdana" w:eastAsia="Arial" w:hAnsi="Verdana"/>
        </w:rPr>
        <w:t xml:space="preserve"> DE SENYALITZACIÓ VIÀRIA</w:t>
      </w:r>
    </w:p>
    <w:p w14:paraId="5D963AD1" w14:textId="77777777" w:rsidR="002D70BC" w:rsidRDefault="002D70BC" w:rsidP="002D70BC">
      <w:pPr>
        <w:jc w:val="left"/>
        <w:rPr>
          <w:rFonts w:ascii="Verdana" w:eastAsia="Calibri" w:hAnsi="Verdana" w:cs="Formata Regular"/>
          <w:iCs/>
          <w:sz w:val="18"/>
          <w:szCs w:val="18"/>
          <w:lang w:eastAsia="en-US"/>
        </w:rPr>
      </w:pPr>
    </w:p>
    <w:p w14:paraId="675B3A51" w14:textId="77777777" w:rsidR="002D70BC" w:rsidRDefault="002D70BC" w:rsidP="002D70BC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31D91FD3" w14:textId="77777777" w:rsidR="002D70BC" w:rsidRDefault="002D70BC" w:rsidP="002D70BC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CONT2500069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71A6B8CB" w14:textId="77777777" w:rsidR="002D70BC" w:rsidRDefault="002D70BC" w:rsidP="002D70BC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240C271A" w14:textId="77777777" w:rsidR="002D70BC" w:rsidRDefault="002D70BC" w:rsidP="002D70BC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B.1 OFERTA DE PREUS  UNITARIS LOT 2</w:t>
      </w: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376"/>
        <w:gridCol w:w="912"/>
        <w:gridCol w:w="407"/>
        <w:gridCol w:w="567"/>
        <w:gridCol w:w="126"/>
        <w:gridCol w:w="160"/>
        <w:gridCol w:w="1133"/>
        <w:gridCol w:w="1277"/>
        <w:gridCol w:w="993"/>
        <w:gridCol w:w="1341"/>
      </w:tblGrid>
      <w:tr w:rsidR="002D70BC" w14:paraId="4C4353E4" w14:textId="77777777" w:rsidTr="004E262C">
        <w:trPr>
          <w:trHeight w:val="331"/>
        </w:trPr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44E4E5" w14:textId="77777777" w:rsidR="002D70BC" w:rsidRDefault="002D70BC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CONTRACTE DE REPARACIÓ, MANTENIMENT I CONSERVACIÓ DE SENYALITZACIÓ VIÀRIA</w:t>
            </w:r>
          </w:p>
          <w:p w14:paraId="4B0DCD81" w14:textId="77777777" w:rsidR="002D70BC" w:rsidRDefault="002D70BC" w:rsidP="004E262C">
            <w:pPr>
              <w:rPr>
                <w:rFonts w:ascii="Verdana" w:hAnsi="Verdana"/>
                <w:i/>
                <w:iCs/>
                <w:color w:val="000000"/>
                <w:sz w:val="16"/>
                <w:szCs w:val="16"/>
                <w:lang w:eastAsia="ca-ES"/>
              </w:rPr>
            </w:pPr>
          </w:p>
          <w:p w14:paraId="6B919D10" w14:textId="77777777" w:rsidR="002D70BC" w:rsidRDefault="002D70BC" w:rsidP="004E262C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  <w:lang w:eastAsia="ca-ES"/>
              </w:rPr>
              <w:t xml:space="preserve">*El licitador ha d’emplenar les caselles 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ca-ES"/>
              </w:rPr>
              <w:t>en blanc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  <w:lang w:eastAsia="ca-ES"/>
              </w:rPr>
              <w:t xml:space="preserve"> ( preu unitari IVA exclòs, i import total previst anual en €)</w:t>
            </w:r>
          </w:p>
        </w:tc>
      </w:tr>
      <w:tr w:rsidR="002D70BC" w14:paraId="1708D58D" w14:textId="77777777" w:rsidTr="004E262C">
        <w:trPr>
          <w:trHeight w:val="1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F62D04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Id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829CE76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6E2872A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B6851AA" w14:textId="77777777" w:rsidR="002D70BC" w:rsidRDefault="002D70BC" w:rsidP="004E262C">
            <w:pPr>
              <w:jc w:val="center"/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  <w:t xml:space="preserve">Preu </w:t>
            </w:r>
            <w:r>
              <w:rPr>
                <w:rFonts w:ascii="Verdana" w:hAnsi="Verdana" w:cs="Tahoma"/>
                <w:b/>
                <w:bCs/>
                <w:i/>
                <w:iCs/>
                <w:color w:val="4F81BD"/>
                <w:sz w:val="18"/>
                <w:szCs w:val="18"/>
                <w:lang w:eastAsia="ca-ES"/>
              </w:rPr>
              <w:t xml:space="preserve">UNITARI BASE DE LICITACIÓ </w:t>
            </w:r>
            <w:r>
              <w:rPr>
                <w:rFonts w:ascii="Verdana" w:hAnsi="Verdana" w:cs="Tahoma"/>
                <w:i/>
                <w:iCs/>
                <w:color w:val="000000"/>
                <w:sz w:val="18"/>
                <w:szCs w:val="18"/>
                <w:lang w:eastAsia="ca-ES"/>
              </w:rPr>
              <w:t>sense IVA (€)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1C6E5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Preu unitari OFERTAT sense IVA (€)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107F476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unitats previstes anual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A58B0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import total previst anual</w:t>
            </w:r>
          </w:p>
          <w:p w14:paraId="2E6941AA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(€)</w:t>
            </w:r>
          </w:p>
        </w:tc>
      </w:tr>
      <w:tr w:rsidR="002D70BC" w14:paraId="18CF5D64" w14:textId="77777777" w:rsidTr="004E262C">
        <w:trPr>
          <w:trHeight w:val="3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8F53DF1" w14:textId="77777777" w:rsidR="002D70BC" w:rsidRDefault="002D70BC" w:rsidP="004E262C">
            <w:pPr>
              <w:jc w:val="center"/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2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0356177A" w14:textId="77777777" w:rsidR="002D70BC" w:rsidRDefault="002D70BC" w:rsidP="004E262C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PREUS UNITARIS</w:t>
            </w:r>
          </w:p>
        </w:tc>
      </w:tr>
      <w:tr w:rsidR="002D70BC" w14:paraId="17144CB7" w14:textId="77777777" w:rsidTr="004E262C">
        <w:trPr>
          <w:trHeight w:val="49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63E9666" w14:textId="77777777" w:rsidR="002D70BC" w:rsidRDefault="002D70BC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A1CB56D" w14:textId="77777777" w:rsidR="002D70BC" w:rsidRDefault="002D70BC" w:rsidP="004E262C">
            <w:pPr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Manteniment senyalització viària horitzontal i vertical.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A68DF6E" w14:textId="77777777" w:rsidR="002D70BC" w:rsidRDefault="002D70BC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45047B7" w14:textId="77777777" w:rsidR="002D70BC" w:rsidRDefault="002D70BC" w:rsidP="004E262C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46DC1FA1" w14:textId="77777777" w:rsidR="002D70BC" w:rsidRDefault="002D70BC" w:rsidP="004E262C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5B64FEA" w14:textId="77777777" w:rsidR="002D70BC" w:rsidRDefault="002D70BC" w:rsidP="004E262C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3E24711D" w14:textId="77777777" w:rsidR="002D70BC" w:rsidRDefault="002D70BC" w:rsidP="004E262C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16581F46" w14:textId="77777777" w:rsidTr="004E262C">
        <w:trPr>
          <w:trHeight w:val="7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0CFC088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2.1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D19CFCA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Act.puntuals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1/2 jornada &lt;= 25 m2,marca vial superficial P - R,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Color blanc, p/marques vials,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2453C92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5317738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726,08 €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77270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49AE1D63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A2B9E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3033CD97" w14:textId="77777777" w:rsidTr="004E262C">
        <w:trPr>
          <w:trHeight w:val="81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B46FDC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2.2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1E3423F0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Act.puntuals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jorn.compl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&lt;= 50 m2,marca vial superficial P - R,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Color blanc, p/marques vials,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1537FEF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B5FD42F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1.333,40 €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BD92D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CA785D7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10,00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65191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4C9FC62A" w14:textId="77777777" w:rsidTr="004E262C">
        <w:trPr>
          <w:trHeight w:val="84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E62F040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2.3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4A7A24A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superficial P-R,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pint.acrílica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màq.manual,entorn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a=3-5m,afect.serv./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mob.urbà,fins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 1 1m2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E09BEF5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6EFA130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16,71 €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75C5F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F6F6940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25,00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593B1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37A30075" w14:textId="77777777" w:rsidTr="004E262C">
        <w:trPr>
          <w:trHeight w:val="58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882236F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2.4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3961B90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superficial P-R,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0AC2CAB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83A6F4A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11,90 €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C5B8C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EE0F8D4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6B74D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08268A87" w14:textId="77777777" w:rsidTr="004E262C">
        <w:trPr>
          <w:trHeight w:val="11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355492C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2.5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9E4C717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superficial P-R,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màq.manual,entorn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a&lt;= 3m,s/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afect.serv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mob.urbà,fins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 1 1m2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8B6C0B5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m2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60BBA30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19,99 €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2CCDB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FA9CC7F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6DCF0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772BC583" w14:textId="77777777" w:rsidTr="004E262C">
        <w:trPr>
          <w:trHeight w:val="60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99D1E62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2.6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BA365B8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long.contínua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P-R, 15cm,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pint.acrílica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, polvorització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6821C7C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88B9651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1,18 €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27006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46084C7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27DAB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316E71F3" w14:textId="77777777" w:rsidTr="004E262C">
        <w:trPr>
          <w:trHeight w:val="54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5451BDD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lastRenderedPageBreak/>
              <w:t>2.7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74ACF12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long.contínua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P-R, 15cm,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., polvorització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BF69A96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3E955D69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1,68 €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D54CC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D1ACCCE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FEB9C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2117FCD6" w14:textId="77777777" w:rsidTr="004E262C">
        <w:trPr>
          <w:trHeight w:val="58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5164C8B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2.8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3836575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long.discontínua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P-R, 50cm, 1/1,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plástic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en fred 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comp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., polvorització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2D8282D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98A04C4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2,85 €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59272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82FDE95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AB252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0F29203D" w14:textId="77777777" w:rsidTr="004E262C">
        <w:trPr>
          <w:trHeight w:val="107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04B59C3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2.9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5BF5445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Marca vial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transv.contínua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P-R, 50cm,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pint.alcídica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màq.manual,entorn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a&lt;= 3m,afect.serv./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mob.urbà,fins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 1 1m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810D161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m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283D48D0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4,47 €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F0D7B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C551130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500,00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10853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3CB530F9" w14:textId="77777777" w:rsidTr="004E262C">
        <w:trPr>
          <w:trHeight w:val="108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7C66D99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2.10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674B37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Suport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quadr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.,tub acer galv.50x50x2mm,clavat,Entorn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a&lt;= 3m,s/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afect.serv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./mob.urbà,1 a 10 1m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5FBD6581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7FEBEE9C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38,49 €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DD454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0E376586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E7255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71353ADD" w14:textId="77777777" w:rsidTr="004E262C">
        <w:trPr>
          <w:trHeight w:val="101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0E24914F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2.11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BE736CD" w14:textId="77777777" w:rsidR="002D70BC" w:rsidRDefault="002D70BC" w:rsidP="004E262C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Placa circ. P/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senyal.tràn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Acer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galv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.+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pint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D=60cm làm.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Retrorrefl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. Cl. RA1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fix.mec.,Entorn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urba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dif.mob.voreres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 a&lt;= 3m,s/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afect.serv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./mob.urbà,1 a 5 1u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02E2BAA" w14:textId="77777777" w:rsidR="002D70BC" w:rsidRDefault="002D70BC" w:rsidP="004E262C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u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664E06C0" w14:textId="77777777" w:rsidR="002D70BC" w:rsidRDefault="002D70BC" w:rsidP="004E262C">
            <w:pPr>
              <w:jc w:val="right"/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i/>
                <w:iCs/>
                <w:color w:val="4F81BD"/>
                <w:sz w:val="18"/>
                <w:szCs w:val="18"/>
                <w:lang w:eastAsia="ca-ES"/>
              </w:rPr>
              <w:t>103,95 €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5E677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  <w:hideMark/>
          </w:tcPr>
          <w:p w14:paraId="12474098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 xml:space="preserve">5,00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5C722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58D31FD1" w14:textId="77777777" w:rsidTr="004E262C">
        <w:trPr>
          <w:trHeight w:val="325"/>
        </w:trPr>
        <w:tc>
          <w:tcPr>
            <w:tcW w:w="708" w:type="dxa"/>
            <w:noWrap/>
            <w:vAlign w:val="center"/>
            <w:hideMark/>
          </w:tcPr>
          <w:p w14:paraId="2220367C" w14:textId="77777777" w:rsidR="002D70BC" w:rsidRDefault="002D70BC" w:rsidP="004E262C">
            <w:pP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76" w:type="dxa"/>
            <w:noWrap/>
            <w:vAlign w:val="center"/>
            <w:hideMark/>
          </w:tcPr>
          <w:p w14:paraId="48D6F2D0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912" w:type="dxa"/>
            <w:noWrap/>
            <w:vAlign w:val="center"/>
            <w:hideMark/>
          </w:tcPr>
          <w:p w14:paraId="792DDF24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407" w:type="dxa"/>
            <w:noWrap/>
            <w:vAlign w:val="center"/>
            <w:hideMark/>
          </w:tcPr>
          <w:p w14:paraId="6FD65027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693" w:type="dxa"/>
            <w:gridSpan w:val="2"/>
            <w:noWrap/>
            <w:vAlign w:val="center"/>
            <w:hideMark/>
          </w:tcPr>
          <w:p w14:paraId="0BCDCD8D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14:paraId="7153448E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14:paraId="2279ED7B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83EC2" w14:textId="77777777" w:rsidR="002D70BC" w:rsidRDefault="002D70BC" w:rsidP="004E262C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Oferta licitador (sense iva)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C5F5B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D70BC" w14:paraId="4DF93B14" w14:textId="77777777" w:rsidTr="004E262C">
        <w:trPr>
          <w:trHeight w:val="325"/>
        </w:trPr>
        <w:tc>
          <w:tcPr>
            <w:tcW w:w="708" w:type="dxa"/>
            <w:noWrap/>
            <w:vAlign w:val="center"/>
            <w:hideMark/>
          </w:tcPr>
          <w:p w14:paraId="36787536" w14:textId="77777777" w:rsidR="002D70BC" w:rsidRDefault="002D70BC" w:rsidP="004E262C">
            <w:pP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76" w:type="dxa"/>
            <w:noWrap/>
            <w:vAlign w:val="center"/>
            <w:hideMark/>
          </w:tcPr>
          <w:p w14:paraId="46355BC1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912" w:type="dxa"/>
            <w:noWrap/>
            <w:vAlign w:val="center"/>
            <w:hideMark/>
          </w:tcPr>
          <w:p w14:paraId="080DCB5D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407" w:type="dxa"/>
            <w:noWrap/>
            <w:vAlign w:val="center"/>
            <w:hideMark/>
          </w:tcPr>
          <w:p w14:paraId="143F76DF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693" w:type="dxa"/>
            <w:gridSpan w:val="2"/>
            <w:noWrap/>
            <w:vAlign w:val="center"/>
            <w:hideMark/>
          </w:tcPr>
          <w:p w14:paraId="61BFF272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14:paraId="1BC4EA6A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133" w:type="dxa"/>
            <w:noWrap/>
            <w:vAlign w:val="center"/>
            <w:hideMark/>
          </w:tcPr>
          <w:p w14:paraId="6C61A6AB" w14:textId="77777777" w:rsidR="002D70BC" w:rsidRDefault="002D70BC" w:rsidP="004E262C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3D6DE" w14:textId="77777777" w:rsidR="002D70BC" w:rsidRDefault="002D70BC" w:rsidP="004E262C">
            <w:pPr>
              <w:jc w:val="right"/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eastAsia="ca-ES"/>
              </w:rPr>
              <w:t>Previsió contracte (amb iva)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70074" w14:textId="77777777" w:rsidR="002D70BC" w:rsidRDefault="002D70BC" w:rsidP="004E262C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6D5C5F68" w14:textId="77777777" w:rsidR="002D70BC" w:rsidRDefault="002D70BC" w:rsidP="002D70BC">
      <w:pPr>
        <w:widowControl w:val="0"/>
        <w:rPr>
          <w:rFonts w:ascii="Verdana" w:eastAsia="Calibri" w:hAnsi="Verdana" w:cs="Formata Regular"/>
          <w:i/>
          <w:iCs/>
          <w:sz w:val="16"/>
          <w:szCs w:val="16"/>
          <w:lang w:eastAsia="en-US"/>
        </w:rPr>
      </w:pPr>
      <w:r>
        <w:rPr>
          <w:rFonts w:ascii="Verdana" w:eastAsia="Calibri" w:hAnsi="Verdana" w:cs="Formata Regular"/>
          <w:i/>
          <w:iCs/>
          <w:sz w:val="18"/>
          <w:szCs w:val="18"/>
          <w:lang w:eastAsia="en-US"/>
        </w:rPr>
        <w:t>*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El licitador ha de presentar la seva oferta d’acord amb </w:t>
      </w:r>
      <w:r>
        <w:rPr>
          <w:rFonts w:ascii="Verdana" w:eastAsia="Calibri" w:hAnsi="Verdana" w:cs="Formata Regular"/>
          <w:i/>
          <w:iCs/>
          <w:sz w:val="16"/>
          <w:szCs w:val="16"/>
          <w:u w:val="single"/>
          <w:lang w:eastAsia="en-US"/>
        </w:rPr>
        <w:t>aquest model Annex 2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, i adjuntarà a més, l’oferta en format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juntament amb l’annex 2. En el cas que els preus unitaris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ofertats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que constin en </w:t>
      </w: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l’excel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no coincideixin amb l’oferta del model Annex 2, prevaldrà l’oferta que consta en el </w:t>
      </w:r>
      <w:r>
        <w:rPr>
          <w:rFonts w:ascii="Verdana" w:eastAsia="Calibri" w:hAnsi="Verdana" w:cs="Formata Regular"/>
          <w:b/>
          <w:bCs/>
          <w:i/>
          <w:iCs/>
          <w:sz w:val="16"/>
          <w:szCs w:val="16"/>
          <w:u w:val="single"/>
          <w:lang w:eastAsia="en-US"/>
        </w:rPr>
        <w:t>model Annex 2 signat</w:t>
      </w:r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. </w:t>
      </w:r>
    </w:p>
    <w:p w14:paraId="0BC4FD43" w14:textId="77777777" w:rsidR="002D70BC" w:rsidRDefault="002D70BC" w:rsidP="002D70BC">
      <w:pPr>
        <w:widowControl w:val="0"/>
        <w:rPr>
          <w:rFonts w:ascii="Verdana" w:eastAsia="Calibri" w:hAnsi="Verdana" w:cs="Formata Regular"/>
          <w:i/>
          <w:iCs/>
          <w:sz w:val="16"/>
          <w:szCs w:val="16"/>
          <w:lang w:eastAsia="en-US"/>
        </w:rPr>
      </w:pPr>
      <w:proofErr w:type="spellStart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>L’excel</w:t>
      </w:r>
      <w:proofErr w:type="spellEnd"/>
      <w:r>
        <w:rPr>
          <w:rFonts w:ascii="Verdana" w:eastAsia="Calibri" w:hAnsi="Verdana" w:cs="Formata Regular"/>
          <w:i/>
          <w:iCs/>
          <w:sz w:val="16"/>
          <w:szCs w:val="16"/>
          <w:lang w:eastAsia="en-US"/>
        </w:rPr>
        <w:t xml:space="preserve"> no té validesa com a document de l’oferta, sinó que únicament serveix com a document de treball per a realitzar amb més rapidesa el càlcul total de l’oferta, tan pel licitador com pel tècnic que valora les ofertes. </w:t>
      </w:r>
    </w:p>
    <w:p w14:paraId="1F34BD26" w14:textId="77777777" w:rsidR="002D70BC" w:rsidRDefault="002D70BC" w:rsidP="002D70BC">
      <w:pPr>
        <w:widowControl w:val="0"/>
        <w:rPr>
          <w:rFonts w:ascii="Verdana" w:eastAsia="Calibri" w:hAnsi="Verdana" w:cs="Formata Regular"/>
          <w:b/>
          <w:bCs/>
          <w:highlight w:val="yellow"/>
          <w:lang w:eastAsia="en-US"/>
        </w:rPr>
      </w:pPr>
    </w:p>
    <w:p w14:paraId="45490B0F" w14:textId="77777777" w:rsidR="002D70BC" w:rsidRDefault="002D70BC" w:rsidP="002D70BC">
      <w:pPr>
        <w:widowControl w:val="0"/>
      </w:pPr>
      <w:r>
        <w:rPr>
          <w:rFonts w:ascii="Verdana" w:hAnsi="Verdana"/>
          <w:b/>
          <w:bCs/>
        </w:rPr>
        <w:t>B.2 ALTRES PREUS</w:t>
      </w:r>
      <w:r>
        <w:t xml:space="preserve">:  </w:t>
      </w:r>
    </w:p>
    <w:p w14:paraId="1E3A1764" w14:textId="77777777" w:rsidR="002D70BC" w:rsidRDefault="002D70BC" w:rsidP="002D70BC">
      <w:pPr>
        <w:widowControl w:val="0"/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2D70BC" w14:paraId="7C3DD0AE" w14:textId="77777777" w:rsidTr="004E262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A0221C" w14:textId="77777777" w:rsidR="002D70BC" w:rsidRDefault="002D70BC" w:rsidP="004E262C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Altres Preus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494A49" w14:textId="77777777" w:rsidR="002D70BC" w:rsidRDefault="002D70BC" w:rsidP="004E262C">
            <w:pPr>
              <w:widowControl w:val="0"/>
              <w:jc w:val="center"/>
            </w:pPr>
            <w:r>
              <w:t>Expressar</w:t>
            </w:r>
          </w:p>
          <w:p w14:paraId="25B3C29D" w14:textId="77777777" w:rsidR="002D70BC" w:rsidRDefault="002D70BC" w:rsidP="004E262C">
            <w:pPr>
              <w:widowControl w:val="0"/>
              <w:jc w:val="center"/>
            </w:pPr>
            <w:r>
              <w:t>en el % de descompte/baixa</w:t>
            </w:r>
          </w:p>
        </w:tc>
      </w:tr>
      <w:tr w:rsidR="002D70BC" w14:paraId="14FE892C" w14:textId="77777777" w:rsidTr="004E262C">
        <w:trPr>
          <w:trHeight w:val="8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6A2" w14:textId="77777777" w:rsidR="002D70BC" w:rsidRDefault="002D70BC" w:rsidP="004E262C">
            <w:pPr>
              <w:widowControl w:val="0"/>
            </w:pPr>
            <w:r>
              <w:rPr>
                <w:rFonts w:ascii="Verdana" w:hAnsi="Verdana"/>
              </w:rPr>
              <w:t>Percentatge de baixa econòmica sobre els preus de l’ITEC per a aquells no contemplats a l’annex 14 de quadre de preus unitaris.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5C5" w14:textId="77777777" w:rsidR="002D70BC" w:rsidRDefault="002D70BC" w:rsidP="004E262C">
            <w:pPr>
              <w:widowControl w:val="0"/>
            </w:pPr>
          </w:p>
          <w:p w14:paraId="3C7CA624" w14:textId="77777777" w:rsidR="002D70BC" w:rsidRDefault="002D70BC" w:rsidP="004E262C">
            <w:pPr>
              <w:widowControl w:val="0"/>
            </w:pPr>
            <w:r>
              <w:t xml:space="preserve">            ..............  %</w:t>
            </w:r>
          </w:p>
        </w:tc>
      </w:tr>
    </w:tbl>
    <w:p w14:paraId="03E12B83" w14:textId="77777777" w:rsidR="002D70BC" w:rsidRDefault="002D70BC" w:rsidP="002D70BC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704F01DA" w14:textId="77777777" w:rsidR="002D70BC" w:rsidRPr="008B1AB4" w:rsidRDefault="002D70BC" w:rsidP="002D70BC">
      <w:pPr>
        <w:widowControl w:val="0"/>
        <w:spacing w:line="276" w:lineRule="auto"/>
        <w:rPr>
          <w:rFonts w:ascii="Verdana" w:eastAsia="Calibri" w:hAnsi="Verdana" w:cs="Formata Regular"/>
          <w:bCs/>
          <w:sz w:val="16"/>
          <w:szCs w:val="16"/>
          <w:lang w:eastAsia="en-US"/>
        </w:rPr>
      </w:pPr>
      <w:r w:rsidRPr="008B1AB4">
        <w:rPr>
          <w:rFonts w:ascii="Verdana" w:eastAsia="Calibri" w:hAnsi="Verdana" w:cs="Formata Regular"/>
          <w:bCs/>
          <w:sz w:val="16"/>
          <w:szCs w:val="16"/>
          <w:lang w:eastAsia="en-US"/>
        </w:rPr>
        <w:t>NOTA: Si l'oferta supera els preus unitaris màxim que s’estableix l’annex 14 en els plecs i els documents d’aquesta licitació, serà causa de EXCLUSIÓ del procediment.</w:t>
      </w:r>
    </w:p>
    <w:p w14:paraId="37EE331D" w14:textId="77777777" w:rsidR="00A8627B" w:rsidRDefault="00A8627B"/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C"/>
    <w:rsid w:val="0021192B"/>
    <w:rsid w:val="002D70BC"/>
    <w:rsid w:val="00726B13"/>
    <w:rsid w:val="00A8627B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353D"/>
  <w15:chartTrackingRefBased/>
  <w15:docId w15:val="{19B9F933-4AFB-4302-B77D-CFB833F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B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70B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70B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70B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70B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70B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70B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70B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70B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70B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0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7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70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70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70B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7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70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7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7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70B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D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B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D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70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D70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70B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D70B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0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0B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70BC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D70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D70B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cp:lastPrinted>2026-04-21T07:08:00Z</cp:lastPrinted>
  <dcterms:created xsi:type="dcterms:W3CDTF">2026-04-21T07:08:00Z</dcterms:created>
  <dcterms:modified xsi:type="dcterms:W3CDTF">2026-04-21T07:09:00Z</dcterms:modified>
</cp:coreProperties>
</file>