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Subministrament d'una furgoneta híbrida endollable (PHEV) de 7 places destinada al servei de protocol de l'Ajuntament de Sabadell</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titlePg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4.68pt;height:35.25pt;margin-top:23.81pt;margin-left:91.69pt;mso-position-horizontal-relative:left-margin-area;mso-position-vertical-relative:top-margin-area;position:absolute;z-index:-25165824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4.68pt;height:35.25pt;margin-top:23.81pt;margin-left:91.69pt;mso-position-horizontal-relative:left-margin-area;mso-position-vertical-relative:top-margin-area;position:absolute;z-index:-251657216">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