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3207" w14:textId="77777777" w:rsidR="00241350" w:rsidRPr="00CB5187" w:rsidRDefault="00241350" w:rsidP="00F454D8">
      <w:pPr>
        <w:spacing w:after="0" w:line="240" w:lineRule="auto"/>
        <w:contextualSpacing/>
        <w:jc w:val="both"/>
        <w:rPr>
          <w:rFonts w:ascii="Calibri Light" w:hAnsi="Calibri Light" w:cs="Arial"/>
          <w:b/>
          <w:u w:val="single"/>
          <w:lang w:eastAsia="es-ES"/>
        </w:rPr>
      </w:pPr>
    </w:p>
    <w:p w14:paraId="3467F915" w14:textId="77777777" w:rsidR="00F454D8" w:rsidRPr="0004172E" w:rsidRDefault="001150FE" w:rsidP="004A37D5">
      <w:pPr>
        <w:shd w:val="clear" w:color="auto" w:fill="D9D9D9" w:themeFill="background1" w:themeFillShade="D9"/>
        <w:spacing w:after="0" w:line="240" w:lineRule="auto"/>
        <w:contextualSpacing/>
        <w:rPr>
          <w:rFonts w:cs="Arial"/>
          <w:b/>
          <w:sz w:val="40"/>
          <w:szCs w:val="40"/>
          <w:lang w:eastAsia="es-ES"/>
        </w:rPr>
      </w:pPr>
      <w:r w:rsidRPr="0004172E">
        <w:rPr>
          <w:rFonts w:cs="Arial"/>
          <w:b/>
          <w:sz w:val="40"/>
          <w:szCs w:val="40"/>
          <w:lang w:eastAsia="es-ES"/>
        </w:rPr>
        <w:t xml:space="preserve">ANNEX </w:t>
      </w:r>
      <w:r w:rsidR="009B0F3C" w:rsidRPr="0004172E">
        <w:rPr>
          <w:rFonts w:cs="Arial"/>
          <w:b/>
          <w:sz w:val="40"/>
          <w:szCs w:val="40"/>
          <w:lang w:eastAsia="es-ES"/>
        </w:rPr>
        <w:t>2</w:t>
      </w:r>
    </w:p>
    <w:p w14:paraId="13CB597F" w14:textId="77777777" w:rsidR="00973C45" w:rsidRPr="0004172E" w:rsidRDefault="004A37D5" w:rsidP="004A37D5">
      <w:pPr>
        <w:shd w:val="clear" w:color="auto" w:fill="D9D9D9" w:themeFill="background1" w:themeFillShade="D9"/>
        <w:autoSpaceDE w:val="0"/>
        <w:autoSpaceDN w:val="0"/>
        <w:adjustRightInd w:val="0"/>
        <w:spacing w:after="0" w:line="240" w:lineRule="auto"/>
        <w:rPr>
          <w:rFonts w:cs="Arial"/>
          <w:b/>
          <w:sz w:val="40"/>
          <w:szCs w:val="40"/>
          <w:lang w:eastAsia="es-ES"/>
        </w:rPr>
      </w:pPr>
      <w:r w:rsidRPr="0004172E">
        <w:rPr>
          <w:rFonts w:cs="Arial"/>
          <w:b/>
          <w:sz w:val="40"/>
          <w:szCs w:val="40"/>
          <w:lang w:eastAsia="es-ES"/>
        </w:rPr>
        <w:t xml:space="preserve">INFORMACIÓ SOBRE LOTS, </w:t>
      </w:r>
      <w:r w:rsidR="009B0F3C" w:rsidRPr="0004172E">
        <w:rPr>
          <w:rFonts w:cs="Arial"/>
          <w:b/>
          <w:sz w:val="40"/>
          <w:szCs w:val="40"/>
          <w:lang w:eastAsia="es-ES"/>
        </w:rPr>
        <w:t>DESCRIPCIONS, JUSTIFICACIÓ DE LA LOTITZACIÓ</w:t>
      </w:r>
      <w:r w:rsidRPr="0004172E">
        <w:rPr>
          <w:rFonts w:cs="Arial"/>
          <w:b/>
          <w:sz w:val="40"/>
          <w:szCs w:val="40"/>
          <w:lang w:eastAsia="es-ES"/>
        </w:rPr>
        <w:t xml:space="preserve">, </w:t>
      </w:r>
      <w:r w:rsidR="009B0F3C" w:rsidRPr="0004172E">
        <w:rPr>
          <w:rFonts w:cs="Arial"/>
          <w:b/>
          <w:sz w:val="40"/>
          <w:szCs w:val="40"/>
          <w:lang w:eastAsia="es-ES"/>
        </w:rPr>
        <w:t>IMPORTS PER LOT</w:t>
      </w:r>
      <w:r w:rsidRPr="0004172E">
        <w:rPr>
          <w:rFonts w:cs="Arial"/>
          <w:b/>
          <w:sz w:val="40"/>
          <w:szCs w:val="40"/>
          <w:lang w:eastAsia="es-ES"/>
        </w:rPr>
        <w:t>, LIMITACIONS</w:t>
      </w:r>
    </w:p>
    <w:p w14:paraId="7D8057A8" w14:textId="77777777" w:rsidR="0041597E" w:rsidRDefault="0041597E" w:rsidP="005505E3">
      <w:pPr>
        <w:autoSpaceDE w:val="0"/>
        <w:autoSpaceDN w:val="0"/>
        <w:adjustRightInd w:val="0"/>
        <w:spacing w:after="0" w:line="240" w:lineRule="auto"/>
        <w:jc w:val="both"/>
        <w:rPr>
          <w:rFonts w:ascii="Calibri Light" w:hAnsi="Calibri Light" w:cs="Arial"/>
          <w:lang w:eastAsia="es-ES"/>
        </w:rPr>
      </w:pPr>
    </w:p>
    <w:p w14:paraId="56A9F2BF" w14:textId="77777777" w:rsidR="001675B3" w:rsidRDefault="001675B3" w:rsidP="001675B3">
      <w:pPr>
        <w:pStyle w:val="Default"/>
      </w:pPr>
    </w:p>
    <w:p w14:paraId="50D26D0A" w14:textId="0BD1ED52" w:rsidR="001675B3" w:rsidRPr="001675B3" w:rsidRDefault="001675B3" w:rsidP="001675B3">
      <w:pPr>
        <w:pStyle w:val="Default"/>
        <w:jc w:val="both"/>
        <w:rPr>
          <w:rFonts w:ascii="Arial" w:hAnsi="Arial" w:cs="Arial"/>
          <w:sz w:val="20"/>
          <w:szCs w:val="20"/>
        </w:rPr>
      </w:pPr>
      <w:r w:rsidRPr="001675B3">
        <w:rPr>
          <w:rFonts w:ascii="Arial" w:hAnsi="Arial" w:cs="Arial"/>
          <w:sz w:val="20"/>
          <w:szCs w:val="20"/>
        </w:rPr>
        <w:t xml:space="preserve"> L'adjudicació de la present contractació s’estructura en tres (3) lots.</w:t>
      </w:r>
    </w:p>
    <w:p w14:paraId="41A16810" w14:textId="77777777" w:rsidR="001675B3" w:rsidRPr="001675B3" w:rsidRDefault="001675B3" w:rsidP="001675B3">
      <w:pPr>
        <w:pStyle w:val="Default"/>
        <w:jc w:val="both"/>
        <w:rPr>
          <w:rFonts w:ascii="Arial" w:hAnsi="Arial" w:cs="Arial"/>
          <w:sz w:val="20"/>
          <w:szCs w:val="20"/>
        </w:rPr>
      </w:pPr>
    </w:p>
    <w:p w14:paraId="33AE08CD" w14:textId="77777777" w:rsidR="001675B3" w:rsidRPr="001675B3" w:rsidRDefault="001675B3" w:rsidP="001675B3">
      <w:pPr>
        <w:pStyle w:val="Default"/>
        <w:jc w:val="both"/>
        <w:rPr>
          <w:rFonts w:ascii="Arial" w:hAnsi="Arial" w:cs="Arial"/>
          <w:sz w:val="20"/>
          <w:szCs w:val="20"/>
        </w:rPr>
      </w:pPr>
      <w:r w:rsidRPr="001675B3">
        <w:rPr>
          <w:rFonts w:ascii="Arial" w:hAnsi="Arial" w:cs="Arial"/>
          <w:sz w:val="20"/>
          <w:szCs w:val="20"/>
        </w:rPr>
        <w:t xml:space="preserve">D’acord amb l’article 99.3 de la Llei 9/2017, de 8 de novembre, de Contractes del Sector Públic (LCSP), la divisió en lots només és procedent quan la naturalesa del contracte ho permet. En el present expedient, relatiu subministrament d’instrumental quirúrgic per l’àrea quirúrgica de traumatologia, les característiques tècniques del material fan inviable la seva fragmentació. </w:t>
      </w:r>
    </w:p>
    <w:p w14:paraId="36947717" w14:textId="77777777" w:rsidR="001675B3" w:rsidRPr="001675B3" w:rsidRDefault="001675B3" w:rsidP="001675B3">
      <w:pPr>
        <w:pStyle w:val="Default"/>
        <w:jc w:val="both"/>
        <w:rPr>
          <w:rFonts w:ascii="Arial" w:hAnsi="Arial" w:cs="Arial"/>
          <w:sz w:val="20"/>
          <w:szCs w:val="20"/>
        </w:rPr>
      </w:pPr>
      <w:r w:rsidRPr="001675B3">
        <w:rPr>
          <w:rFonts w:ascii="Arial" w:hAnsi="Arial" w:cs="Arial"/>
          <w:sz w:val="20"/>
          <w:szCs w:val="20"/>
        </w:rPr>
        <w:t xml:space="preserve">Les raons tècniques que fonamenten aquesta decisió són les següents: </w:t>
      </w:r>
    </w:p>
    <w:p w14:paraId="78A9864B" w14:textId="77777777" w:rsidR="001675B3" w:rsidRPr="001675B3" w:rsidRDefault="001675B3" w:rsidP="001675B3">
      <w:pPr>
        <w:pStyle w:val="Default"/>
        <w:jc w:val="both"/>
        <w:rPr>
          <w:rFonts w:ascii="Arial" w:hAnsi="Arial" w:cs="Arial"/>
          <w:sz w:val="20"/>
          <w:szCs w:val="20"/>
        </w:rPr>
      </w:pPr>
      <w:r w:rsidRPr="001675B3">
        <w:rPr>
          <w:rFonts w:ascii="Arial" w:hAnsi="Arial" w:cs="Arial"/>
          <w:sz w:val="20"/>
          <w:szCs w:val="20"/>
        </w:rPr>
        <w:t xml:space="preserve">1. Unitat funcional de l’instrumental quirúrgic Els conjunts instrumentals inclosos als Lots 1 i 2 constitueixen sistemes complets dissenyats per a procediments quirúrgics específics. La seva eficàcia depèn del fet que tots els components siguin compatibles entre si i funcionin com una unitat integrada. La seva fragmentació podria comprometre aquesta funcionalitat. </w:t>
      </w:r>
    </w:p>
    <w:p w14:paraId="1A91DC64" w14:textId="77777777" w:rsidR="001675B3" w:rsidRPr="001675B3" w:rsidRDefault="001675B3" w:rsidP="001675B3">
      <w:pPr>
        <w:pStyle w:val="Default"/>
        <w:jc w:val="both"/>
        <w:rPr>
          <w:rFonts w:ascii="Arial" w:hAnsi="Arial" w:cs="Arial"/>
          <w:sz w:val="20"/>
          <w:szCs w:val="20"/>
        </w:rPr>
      </w:pPr>
    </w:p>
    <w:p w14:paraId="68C0A697" w14:textId="77777777" w:rsidR="001675B3" w:rsidRPr="001675B3" w:rsidRDefault="001675B3" w:rsidP="001675B3">
      <w:pPr>
        <w:pStyle w:val="Default"/>
        <w:spacing w:after="8"/>
        <w:jc w:val="both"/>
        <w:rPr>
          <w:rFonts w:ascii="Arial" w:hAnsi="Arial" w:cs="Arial"/>
          <w:sz w:val="20"/>
          <w:szCs w:val="20"/>
        </w:rPr>
      </w:pPr>
      <w:r w:rsidRPr="001675B3">
        <w:rPr>
          <w:rFonts w:ascii="Arial" w:hAnsi="Arial" w:cs="Arial"/>
          <w:sz w:val="20"/>
          <w:szCs w:val="20"/>
        </w:rPr>
        <w:t xml:space="preserve">2. Compatibilitat tècnica i estandardització L’instrumental quirúrgic ha de complir requisits estrictes de compatibilitat amb implants, accessoris i altres equips del bloc quirúrgic. La contractació conjunta per lots homogenis garanteix: </w:t>
      </w:r>
    </w:p>
    <w:p w14:paraId="3EDCE8CB" w14:textId="77777777" w:rsidR="001675B3" w:rsidRPr="001675B3" w:rsidRDefault="001675B3" w:rsidP="001675B3">
      <w:pPr>
        <w:pStyle w:val="Default"/>
        <w:spacing w:after="8"/>
        <w:jc w:val="both"/>
        <w:rPr>
          <w:rFonts w:ascii="Arial" w:hAnsi="Arial" w:cs="Arial"/>
          <w:sz w:val="20"/>
          <w:szCs w:val="20"/>
        </w:rPr>
      </w:pPr>
    </w:p>
    <w:p w14:paraId="41C3ECE3" w14:textId="77777777" w:rsidR="001675B3" w:rsidRPr="001675B3" w:rsidRDefault="001675B3" w:rsidP="001675B3">
      <w:pPr>
        <w:pStyle w:val="Default"/>
        <w:jc w:val="both"/>
        <w:rPr>
          <w:rFonts w:ascii="Arial" w:hAnsi="Arial" w:cs="Arial"/>
          <w:sz w:val="20"/>
          <w:szCs w:val="20"/>
        </w:rPr>
      </w:pPr>
      <w:r w:rsidRPr="001675B3">
        <w:rPr>
          <w:rFonts w:ascii="Arial" w:hAnsi="Arial" w:cs="Arial"/>
          <w:sz w:val="20"/>
          <w:szCs w:val="20"/>
        </w:rPr>
        <w:t xml:space="preserve">• L’homogeneïtat del material. </w:t>
      </w:r>
    </w:p>
    <w:p w14:paraId="76E303E9" w14:textId="77777777" w:rsidR="001675B3" w:rsidRPr="001675B3" w:rsidRDefault="001675B3" w:rsidP="001675B3">
      <w:pPr>
        <w:autoSpaceDE w:val="0"/>
        <w:autoSpaceDN w:val="0"/>
        <w:adjustRightInd w:val="0"/>
        <w:spacing w:after="18" w:line="240" w:lineRule="auto"/>
        <w:jc w:val="both"/>
        <w:rPr>
          <w:rFonts w:eastAsiaTheme="minorHAnsi" w:cs="Arial"/>
          <w:sz w:val="20"/>
          <w:szCs w:val="20"/>
          <w:lang w:eastAsia="en-US"/>
        </w:rPr>
      </w:pPr>
      <w:r w:rsidRPr="001675B3">
        <w:rPr>
          <w:rFonts w:eastAsiaTheme="minorHAnsi" w:cs="Arial"/>
          <w:sz w:val="20"/>
          <w:szCs w:val="20"/>
          <w:lang w:eastAsia="en-US"/>
        </w:rPr>
        <w:t xml:space="preserve">• L’estandardització dels procediments. </w:t>
      </w:r>
    </w:p>
    <w:p w14:paraId="7E1A0777" w14:textId="77777777" w:rsidR="001675B3" w:rsidRPr="001675B3" w:rsidRDefault="001675B3" w:rsidP="001675B3">
      <w:pPr>
        <w:autoSpaceDE w:val="0"/>
        <w:autoSpaceDN w:val="0"/>
        <w:adjustRightInd w:val="0"/>
        <w:spacing w:after="18" w:line="240" w:lineRule="auto"/>
        <w:jc w:val="both"/>
        <w:rPr>
          <w:rFonts w:eastAsiaTheme="minorHAnsi" w:cs="Arial"/>
          <w:sz w:val="20"/>
          <w:szCs w:val="20"/>
          <w:lang w:eastAsia="en-US"/>
        </w:rPr>
      </w:pPr>
      <w:r w:rsidRPr="001675B3">
        <w:rPr>
          <w:rFonts w:eastAsiaTheme="minorHAnsi" w:cs="Arial"/>
          <w:sz w:val="20"/>
          <w:szCs w:val="20"/>
          <w:lang w:eastAsia="en-US"/>
        </w:rPr>
        <w:t xml:space="preserve">• La reducció d’errors derivats de la utilització de components incompatibles. </w:t>
      </w:r>
    </w:p>
    <w:p w14:paraId="714F1F9A" w14:textId="77777777" w:rsidR="001675B3" w:rsidRPr="001675B3" w:rsidRDefault="001675B3" w:rsidP="001675B3">
      <w:pPr>
        <w:autoSpaceDE w:val="0"/>
        <w:autoSpaceDN w:val="0"/>
        <w:adjustRightInd w:val="0"/>
        <w:spacing w:after="18" w:line="240" w:lineRule="auto"/>
        <w:jc w:val="both"/>
        <w:rPr>
          <w:rFonts w:eastAsiaTheme="minorHAnsi" w:cs="Arial"/>
          <w:sz w:val="20"/>
          <w:szCs w:val="20"/>
          <w:lang w:eastAsia="en-US"/>
        </w:rPr>
      </w:pPr>
    </w:p>
    <w:p w14:paraId="479D49F4" w14:textId="77777777" w:rsidR="001675B3" w:rsidRPr="001675B3" w:rsidRDefault="001675B3" w:rsidP="001675B3">
      <w:pPr>
        <w:autoSpaceDE w:val="0"/>
        <w:autoSpaceDN w:val="0"/>
        <w:adjustRightInd w:val="0"/>
        <w:spacing w:after="18" w:line="240" w:lineRule="auto"/>
        <w:jc w:val="both"/>
        <w:rPr>
          <w:rFonts w:eastAsiaTheme="minorHAnsi" w:cs="Arial"/>
          <w:sz w:val="20"/>
          <w:szCs w:val="20"/>
          <w:lang w:eastAsia="en-US"/>
        </w:rPr>
      </w:pPr>
      <w:r w:rsidRPr="001675B3">
        <w:rPr>
          <w:rFonts w:eastAsiaTheme="minorHAnsi" w:cs="Arial"/>
          <w:sz w:val="20"/>
          <w:szCs w:val="20"/>
          <w:lang w:eastAsia="en-US"/>
        </w:rPr>
        <w:t xml:space="preserve">3. Seguretat del pacient i qualitat assistencial La utilització d’instrumental no homogeni o de diferents proveïdors dins d’un mateix sistema pot incrementar el risc d’incidències durant la cirurgia. La configuració en lots garanteix: </w:t>
      </w:r>
    </w:p>
    <w:p w14:paraId="021BE6DF" w14:textId="77777777" w:rsidR="001675B3" w:rsidRPr="001675B3" w:rsidRDefault="001675B3" w:rsidP="001675B3">
      <w:pPr>
        <w:autoSpaceDE w:val="0"/>
        <w:autoSpaceDN w:val="0"/>
        <w:adjustRightInd w:val="0"/>
        <w:spacing w:after="18" w:line="240" w:lineRule="auto"/>
        <w:jc w:val="both"/>
        <w:rPr>
          <w:rFonts w:eastAsiaTheme="minorHAnsi" w:cs="Arial"/>
          <w:sz w:val="20"/>
          <w:szCs w:val="20"/>
          <w:lang w:eastAsia="en-US"/>
        </w:rPr>
      </w:pPr>
    </w:p>
    <w:p w14:paraId="782AFADE" w14:textId="77777777" w:rsidR="001675B3" w:rsidRPr="001675B3" w:rsidRDefault="001675B3" w:rsidP="001675B3">
      <w:pPr>
        <w:autoSpaceDE w:val="0"/>
        <w:autoSpaceDN w:val="0"/>
        <w:adjustRightInd w:val="0"/>
        <w:spacing w:after="18" w:line="240" w:lineRule="auto"/>
        <w:jc w:val="both"/>
        <w:rPr>
          <w:rFonts w:eastAsiaTheme="minorHAnsi" w:cs="Arial"/>
          <w:sz w:val="20"/>
          <w:szCs w:val="20"/>
          <w:lang w:eastAsia="en-US"/>
        </w:rPr>
      </w:pPr>
      <w:r w:rsidRPr="001675B3">
        <w:rPr>
          <w:rFonts w:eastAsiaTheme="minorHAnsi" w:cs="Arial"/>
          <w:sz w:val="20"/>
          <w:szCs w:val="20"/>
          <w:lang w:eastAsia="en-US"/>
        </w:rPr>
        <w:t xml:space="preserve">• Fiabilitat en l’ús de l’instrumental. </w:t>
      </w:r>
    </w:p>
    <w:p w14:paraId="23E6FFB3" w14:textId="77777777" w:rsidR="001675B3" w:rsidRPr="001675B3" w:rsidRDefault="001675B3" w:rsidP="001675B3">
      <w:pPr>
        <w:autoSpaceDE w:val="0"/>
        <w:autoSpaceDN w:val="0"/>
        <w:adjustRightInd w:val="0"/>
        <w:spacing w:after="18" w:line="240" w:lineRule="auto"/>
        <w:jc w:val="both"/>
        <w:rPr>
          <w:rFonts w:eastAsiaTheme="minorHAnsi" w:cs="Arial"/>
          <w:sz w:val="20"/>
          <w:szCs w:val="20"/>
          <w:lang w:eastAsia="en-US"/>
        </w:rPr>
      </w:pPr>
      <w:r w:rsidRPr="001675B3">
        <w:rPr>
          <w:rFonts w:eastAsiaTheme="minorHAnsi" w:cs="Arial"/>
          <w:sz w:val="20"/>
          <w:szCs w:val="20"/>
          <w:lang w:eastAsia="en-US"/>
        </w:rPr>
        <w:t xml:space="preserve">• Reducció de riscos </w:t>
      </w:r>
      <w:proofErr w:type="spellStart"/>
      <w:r w:rsidRPr="001675B3">
        <w:rPr>
          <w:rFonts w:eastAsiaTheme="minorHAnsi" w:cs="Arial"/>
          <w:sz w:val="20"/>
          <w:szCs w:val="20"/>
          <w:lang w:eastAsia="en-US"/>
        </w:rPr>
        <w:t>intraoperatoris</w:t>
      </w:r>
      <w:proofErr w:type="spellEnd"/>
      <w:r w:rsidRPr="001675B3">
        <w:rPr>
          <w:rFonts w:eastAsiaTheme="minorHAnsi" w:cs="Arial"/>
          <w:sz w:val="20"/>
          <w:szCs w:val="20"/>
          <w:lang w:eastAsia="en-US"/>
        </w:rPr>
        <w:t xml:space="preserve">. </w:t>
      </w:r>
    </w:p>
    <w:p w14:paraId="6FEC42FA"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r w:rsidRPr="001675B3">
        <w:rPr>
          <w:rFonts w:eastAsiaTheme="minorHAnsi" w:cs="Arial"/>
          <w:sz w:val="20"/>
          <w:szCs w:val="20"/>
          <w:lang w:eastAsia="en-US"/>
        </w:rPr>
        <w:t xml:space="preserve">• Millora dels resultats clínics. </w:t>
      </w:r>
    </w:p>
    <w:p w14:paraId="55D25F90"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p>
    <w:p w14:paraId="2F20DC8B" w14:textId="77777777" w:rsidR="001675B3" w:rsidRPr="001675B3" w:rsidRDefault="001675B3" w:rsidP="001675B3">
      <w:pPr>
        <w:autoSpaceDE w:val="0"/>
        <w:autoSpaceDN w:val="0"/>
        <w:adjustRightInd w:val="0"/>
        <w:spacing w:after="5" w:line="240" w:lineRule="auto"/>
        <w:jc w:val="both"/>
        <w:rPr>
          <w:rFonts w:eastAsiaTheme="minorHAnsi" w:cs="Arial"/>
          <w:sz w:val="20"/>
          <w:szCs w:val="20"/>
          <w:lang w:eastAsia="en-US"/>
        </w:rPr>
      </w:pPr>
      <w:r w:rsidRPr="001675B3">
        <w:rPr>
          <w:rFonts w:eastAsiaTheme="minorHAnsi" w:cs="Arial"/>
          <w:sz w:val="20"/>
          <w:szCs w:val="20"/>
          <w:lang w:eastAsia="en-US"/>
        </w:rPr>
        <w:t>4. Eficiència operativa i logística La gestió de l’instrumental quirúrgic requereix processos coordinats d’ús, neteja, esterilització i emmagatzematge. Una fragmentació excessiva:</w:t>
      </w:r>
    </w:p>
    <w:p w14:paraId="02A90323" w14:textId="0374B3C2" w:rsidR="001675B3" w:rsidRPr="001675B3" w:rsidRDefault="001675B3" w:rsidP="001675B3">
      <w:pPr>
        <w:autoSpaceDE w:val="0"/>
        <w:autoSpaceDN w:val="0"/>
        <w:adjustRightInd w:val="0"/>
        <w:spacing w:after="5" w:line="240" w:lineRule="auto"/>
        <w:jc w:val="both"/>
        <w:rPr>
          <w:rFonts w:eastAsiaTheme="minorHAnsi" w:cs="Arial"/>
          <w:sz w:val="20"/>
          <w:szCs w:val="20"/>
          <w:lang w:eastAsia="en-US"/>
        </w:rPr>
      </w:pPr>
      <w:r w:rsidRPr="001675B3">
        <w:rPr>
          <w:rFonts w:eastAsiaTheme="minorHAnsi" w:cs="Arial"/>
          <w:sz w:val="20"/>
          <w:szCs w:val="20"/>
          <w:lang w:eastAsia="en-US"/>
        </w:rPr>
        <w:t xml:space="preserve"> </w:t>
      </w:r>
    </w:p>
    <w:p w14:paraId="28EA17CE" w14:textId="77777777" w:rsidR="001675B3" w:rsidRPr="001675B3" w:rsidRDefault="001675B3" w:rsidP="001675B3">
      <w:pPr>
        <w:autoSpaceDE w:val="0"/>
        <w:autoSpaceDN w:val="0"/>
        <w:adjustRightInd w:val="0"/>
        <w:spacing w:after="5" w:line="240" w:lineRule="auto"/>
        <w:jc w:val="both"/>
        <w:rPr>
          <w:rFonts w:eastAsiaTheme="minorHAnsi" w:cs="Arial"/>
          <w:sz w:val="20"/>
          <w:szCs w:val="20"/>
          <w:lang w:eastAsia="en-US"/>
        </w:rPr>
      </w:pPr>
      <w:r w:rsidRPr="001675B3">
        <w:rPr>
          <w:rFonts w:eastAsiaTheme="minorHAnsi" w:cs="Arial"/>
          <w:sz w:val="20"/>
          <w:szCs w:val="20"/>
          <w:lang w:eastAsia="en-US"/>
        </w:rPr>
        <w:t xml:space="preserve">• Incrementaria la complexitat logística. </w:t>
      </w:r>
    </w:p>
    <w:p w14:paraId="379FF542" w14:textId="77777777" w:rsidR="001675B3" w:rsidRPr="001675B3" w:rsidRDefault="001675B3" w:rsidP="001675B3">
      <w:pPr>
        <w:autoSpaceDE w:val="0"/>
        <w:autoSpaceDN w:val="0"/>
        <w:adjustRightInd w:val="0"/>
        <w:spacing w:after="5" w:line="240" w:lineRule="auto"/>
        <w:jc w:val="both"/>
        <w:rPr>
          <w:rFonts w:eastAsiaTheme="minorHAnsi" w:cs="Arial"/>
          <w:sz w:val="20"/>
          <w:szCs w:val="20"/>
          <w:lang w:eastAsia="en-US"/>
        </w:rPr>
      </w:pPr>
      <w:r w:rsidRPr="001675B3">
        <w:rPr>
          <w:rFonts w:eastAsiaTheme="minorHAnsi" w:cs="Arial"/>
          <w:sz w:val="20"/>
          <w:szCs w:val="20"/>
          <w:lang w:eastAsia="en-US"/>
        </w:rPr>
        <w:t xml:space="preserve">• Dificultaria la traçabilitat dels equips. </w:t>
      </w:r>
    </w:p>
    <w:p w14:paraId="0E90B108"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r w:rsidRPr="001675B3">
        <w:rPr>
          <w:rFonts w:eastAsiaTheme="minorHAnsi" w:cs="Arial"/>
          <w:sz w:val="20"/>
          <w:szCs w:val="20"/>
          <w:lang w:eastAsia="en-US"/>
        </w:rPr>
        <w:t xml:space="preserve">• Augmentaria els temps de preparació quirúrgica. </w:t>
      </w:r>
    </w:p>
    <w:p w14:paraId="5899C208"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p>
    <w:p w14:paraId="5FE44164"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r w:rsidRPr="001675B3">
        <w:rPr>
          <w:rFonts w:eastAsiaTheme="minorHAnsi" w:cs="Arial"/>
          <w:sz w:val="20"/>
          <w:szCs w:val="20"/>
          <w:lang w:eastAsia="en-US"/>
        </w:rPr>
        <w:t xml:space="preserve">En canvi, la divisió en tres lots permet una gestió eficient mantenint coherència tècnica. </w:t>
      </w:r>
    </w:p>
    <w:p w14:paraId="59A43C13"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p>
    <w:p w14:paraId="52AD9017" w14:textId="77777777" w:rsidR="001675B3" w:rsidRPr="001675B3" w:rsidRDefault="001675B3" w:rsidP="001675B3">
      <w:pPr>
        <w:autoSpaceDE w:val="0"/>
        <w:autoSpaceDN w:val="0"/>
        <w:adjustRightInd w:val="0"/>
        <w:spacing w:after="8" w:line="240" w:lineRule="auto"/>
        <w:jc w:val="both"/>
        <w:rPr>
          <w:rFonts w:eastAsiaTheme="minorHAnsi" w:cs="Arial"/>
          <w:sz w:val="20"/>
          <w:szCs w:val="20"/>
          <w:lang w:eastAsia="en-US"/>
        </w:rPr>
      </w:pPr>
      <w:r w:rsidRPr="001675B3">
        <w:rPr>
          <w:rFonts w:eastAsiaTheme="minorHAnsi" w:cs="Arial"/>
          <w:sz w:val="20"/>
          <w:szCs w:val="20"/>
          <w:lang w:eastAsia="en-US"/>
        </w:rPr>
        <w:t xml:space="preserve">5. Garantia de disponibilitat i continuïtat assistencial La necessitat de disposar de diverses unitats completes (Lots 1 i 2) respon a la programació quirúrgica i als temps d’esterilització. La contractació per lots assegura: </w:t>
      </w:r>
    </w:p>
    <w:p w14:paraId="2B73C618" w14:textId="77777777" w:rsidR="001675B3" w:rsidRPr="001675B3" w:rsidRDefault="001675B3" w:rsidP="001675B3">
      <w:pPr>
        <w:autoSpaceDE w:val="0"/>
        <w:autoSpaceDN w:val="0"/>
        <w:adjustRightInd w:val="0"/>
        <w:spacing w:after="8" w:line="240" w:lineRule="auto"/>
        <w:jc w:val="both"/>
        <w:rPr>
          <w:rFonts w:eastAsiaTheme="minorHAnsi" w:cs="Arial"/>
          <w:sz w:val="20"/>
          <w:szCs w:val="20"/>
          <w:lang w:eastAsia="en-US"/>
        </w:rPr>
      </w:pPr>
    </w:p>
    <w:p w14:paraId="677D985F" w14:textId="77777777" w:rsidR="001675B3" w:rsidRPr="001675B3" w:rsidRDefault="001675B3" w:rsidP="001675B3">
      <w:pPr>
        <w:autoSpaceDE w:val="0"/>
        <w:autoSpaceDN w:val="0"/>
        <w:adjustRightInd w:val="0"/>
        <w:spacing w:after="8" w:line="240" w:lineRule="auto"/>
        <w:jc w:val="both"/>
        <w:rPr>
          <w:rFonts w:eastAsiaTheme="minorHAnsi" w:cs="Arial"/>
          <w:sz w:val="20"/>
          <w:szCs w:val="20"/>
          <w:lang w:eastAsia="en-US"/>
        </w:rPr>
      </w:pPr>
      <w:r w:rsidRPr="001675B3">
        <w:rPr>
          <w:rFonts w:eastAsiaTheme="minorHAnsi" w:cs="Arial"/>
          <w:sz w:val="20"/>
          <w:szCs w:val="20"/>
          <w:lang w:eastAsia="en-US"/>
        </w:rPr>
        <w:t xml:space="preserve">• Disponibilitat simultània d’equips complets. </w:t>
      </w:r>
    </w:p>
    <w:p w14:paraId="584B626E"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r w:rsidRPr="001675B3">
        <w:rPr>
          <w:rFonts w:eastAsiaTheme="minorHAnsi" w:cs="Arial"/>
          <w:sz w:val="20"/>
          <w:szCs w:val="20"/>
          <w:lang w:eastAsia="en-US"/>
        </w:rPr>
        <w:t xml:space="preserve">• Evitació de retards o cancel·lacions quirúrgiques. </w:t>
      </w:r>
    </w:p>
    <w:p w14:paraId="5F0C01B5"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p>
    <w:p w14:paraId="6AAA5E3C" w14:textId="77777777" w:rsidR="001675B3" w:rsidRPr="001675B3" w:rsidRDefault="001675B3" w:rsidP="001675B3">
      <w:pPr>
        <w:autoSpaceDE w:val="0"/>
        <w:autoSpaceDN w:val="0"/>
        <w:adjustRightInd w:val="0"/>
        <w:spacing w:after="8" w:line="240" w:lineRule="auto"/>
        <w:jc w:val="both"/>
        <w:rPr>
          <w:rFonts w:eastAsiaTheme="minorHAnsi" w:cs="Arial"/>
          <w:sz w:val="20"/>
          <w:szCs w:val="20"/>
          <w:lang w:eastAsia="en-US"/>
        </w:rPr>
      </w:pPr>
      <w:r w:rsidRPr="001675B3">
        <w:rPr>
          <w:rFonts w:eastAsiaTheme="minorHAnsi" w:cs="Arial"/>
          <w:sz w:val="20"/>
          <w:szCs w:val="20"/>
          <w:lang w:eastAsia="en-US"/>
        </w:rPr>
        <w:t xml:space="preserve">6. Homogeneïtat dels sistemes d’esterilització (Lot 3) Els elements del Lot 3 (contenidors, tapes i cistelles) formen part d’un sistema logístic i d’esterilització que ha de ser compatible en mides, materials i codificació. La seva agrupació: </w:t>
      </w:r>
    </w:p>
    <w:p w14:paraId="2D64D5F0" w14:textId="77777777" w:rsidR="001675B3" w:rsidRPr="001675B3" w:rsidRDefault="001675B3" w:rsidP="001675B3">
      <w:pPr>
        <w:autoSpaceDE w:val="0"/>
        <w:autoSpaceDN w:val="0"/>
        <w:adjustRightInd w:val="0"/>
        <w:spacing w:after="8" w:line="240" w:lineRule="auto"/>
        <w:jc w:val="both"/>
        <w:rPr>
          <w:rFonts w:eastAsiaTheme="minorHAnsi" w:cs="Arial"/>
          <w:sz w:val="20"/>
          <w:szCs w:val="20"/>
          <w:lang w:eastAsia="en-US"/>
        </w:rPr>
      </w:pPr>
    </w:p>
    <w:p w14:paraId="24EE09B4" w14:textId="77777777" w:rsidR="001675B3" w:rsidRPr="001675B3" w:rsidRDefault="001675B3" w:rsidP="001675B3">
      <w:pPr>
        <w:autoSpaceDE w:val="0"/>
        <w:autoSpaceDN w:val="0"/>
        <w:adjustRightInd w:val="0"/>
        <w:spacing w:after="8" w:line="240" w:lineRule="auto"/>
        <w:jc w:val="both"/>
        <w:rPr>
          <w:rFonts w:eastAsiaTheme="minorHAnsi" w:cs="Arial"/>
          <w:sz w:val="20"/>
          <w:szCs w:val="20"/>
          <w:lang w:eastAsia="en-US"/>
        </w:rPr>
      </w:pPr>
      <w:r w:rsidRPr="001675B3">
        <w:rPr>
          <w:rFonts w:eastAsiaTheme="minorHAnsi" w:cs="Arial"/>
          <w:sz w:val="20"/>
          <w:szCs w:val="20"/>
          <w:lang w:eastAsia="en-US"/>
        </w:rPr>
        <w:t xml:space="preserve">• Garanteix la correcta integració amb els equips existents. </w:t>
      </w:r>
    </w:p>
    <w:p w14:paraId="5AF6F310" w14:textId="77777777" w:rsidR="001675B3" w:rsidRPr="001675B3" w:rsidRDefault="001675B3" w:rsidP="001675B3">
      <w:pPr>
        <w:autoSpaceDE w:val="0"/>
        <w:autoSpaceDN w:val="0"/>
        <w:adjustRightInd w:val="0"/>
        <w:spacing w:after="8" w:line="240" w:lineRule="auto"/>
        <w:jc w:val="both"/>
        <w:rPr>
          <w:rFonts w:eastAsiaTheme="minorHAnsi" w:cs="Arial"/>
          <w:sz w:val="20"/>
          <w:szCs w:val="20"/>
          <w:lang w:eastAsia="en-US"/>
        </w:rPr>
      </w:pPr>
      <w:r w:rsidRPr="001675B3">
        <w:rPr>
          <w:rFonts w:eastAsiaTheme="minorHAnsi" w:cs="Arial"/>
          <w:sz w:val="20"/>
          <w:szCs w:val="20"/>
          <w:lang w:eastAsia="en-US"/>
        </w:rPr>
        <w:t xml:space="preserve">• Facilita la identificació i classificació de l’instrumental. </w:t>
      </w:r>
    </w:p>
    <w:p w14:paraId="4ED7A140"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r w:rsidRPr="001675B3">
        <w:rPr>
          <w:rFonts w:eastAsiaTheme="minorHAnsi" w:cs="Arial"/>
          <w:sz w:val="20"/>
          <w:szCs w:val="20"/>
          <w:lang w:eastAsia="en-US"/>
        </w:rPr>
        <w:t xml:space="preserve">• Manté la seguretat dels processos d’esterilització. </w:t>
      </w:r>
    </w:p>
    <w:p w14:paraId="4151F86E"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p>
    <w:p w14:paraId="00B4682F" w14:textId="77777777" w:rsidR="001675B3" w:rsidRPr="001675B3" w:rsidRDefault="001675B3" w:rsidP="001675B3">
      <w:pPr>
        <w:autoSpaceDE w:val="0"/>
        <w:autoSpaceDN w:val="0"/>
        <w:adjustRightInd w:val="0"/>
        <w:spacing w:after="18" w:line="240" w:lineRule="auto"/>
        <w:jc w:val="both"/>
        <w:rPr>
          <w:rFonts w:eastAsiaTheme="minorHAnsi" w:cs="Arial"/>
          <w:sz w:val="20"/>
          <w:szCs w:val="20"/>
          <w:lang w:eastAsia="en-US"/>
        </w:rPr>
      </w:pPr>
      <w:r w:rsidRPr="001675B3">
        <w:rPr>
          <w:rFonts w:eastAsiaTheme="minorHAnsi" w:cs="Arial"/>
          <w:sz w:val="20"/>
          <w:szCs w:val="20"/>
          <w:lang w:eastAsia="en-US"/>
        </w:rPr>
        <w:t xml:space="preserve">7. Limitació de riscos tècnics derivats de la fragmentació Una subdivisió addicional dels lots podria comportar: </w:t>
      </w:r>
    </w:p>
    <w:p w14:paraId="3BD7413B" w14:textId="77777777" w:rsidR="001675B3" w:rsidRPr="001675B3" w:rsidRDefault="001675B3" w:rsidP="001675B3">
      <w:pPr>
        <w:autoSpaceDE w:val="0"/>
        <w:autoSpaceDN w:val="0"/>
        <w:adjustRightInd w:val="0"/>
        <w:spacing w:after="18" w:line="240" w:lineRule="auto"/>
        <w:jc w:val="both"/>
        <w:rPr>
          <w:rFonts w:eastAsiaTheme="minorHAnsi" w:cs="Arial"/>
          <w:sz w:val="20"/>
          <w:szCs w:val="20"/>
          <w:lang w:eastAsia="en-US"/>
        </w:rPr>
      </w:pPr>
    </w:p>
    <w:p w14:paraId="240D8CD9" w14:textId="77777777" w:rsidR="001675B3" w:rsidRPr="001675B3" w:rsidRDefault="001675B3" w:rsidP="001675B3">
      <w:pPr>
        <w:autoSpaceDE w:val="0"/>
        <w:autoSpaceDN w:val="0"/>
        <w:adjustRightInd w:val="0"/>
        <w:spacing w:after="18" w:line="240" w:lineRule="auto"/>
        <w:jc w:val="both"/>
        <w:rPr>
          <w:rFonts w:eastAsiaTheme="minorHAnsi" w:cs="Arial"/>
          <w:sz w:val="20"/>
          <w:szCs w:val="20"/>
          <w:lang w:eastAsia="en-US"/>
        </w:rPr>
      </w:pPr>
      <w:r w:rsidRPr="001675B3">
        <w:rPr>
          <w:rFonts w:eastAsiaTheme="minorHAnsi" w:cs="Arial"/>
          <w:sz w:val="20"/>
          <w:szCs w:val="20"/>
          <w:lang w:eastAsia="en-US"/>
        </w:rPr>
        <w:t xml:space="preserve">• Incompatibilitats entre components. </w:t>
      </w:r>
    </w:p>
    <w:p w14:paraId="36E11608" w14:textId="77777777" w:rsidR="001675B3" w:rsidRPr="001675B3" w:rsidRDefault="001675B3" w:rsidP="001675B3">
      <w:pPr>
        <w:autoSpaceDE w:val="0"/>
        <w:autoSpaceDN w:val="0"/>
        <w:adjustRightInd w:val="0"/>
        <w:spacing w:after="18" w:line="240" w:lineRule="auto"/>
        <w:jc w:val="both"/>
        <w:rPr>
          <w:rFonts w:eastAsiaTheme="minorHAnsi" w:cs="Arial"/>
          <w:sz w:val="20"/>
          <w:szCs w:val="20"/>
          <w:lang w:eastAsia="en-US"/>
        </w:rPr>
      </w:pPr>
      <w:r w:rsidRPr="001675B3">
        <w:rPr>
          <w:rFonts w:eastAsiaTheme="minorHAnsi" w:cs="Arial"/>
          <w:sz w:val="20"/>
          <w:szCs w:val="20"/>
          <w:lang w:eastAsia="en-US"/>
        </w:rPr>
        <w:t xml:space="preserve">• Increment del risc d’errors humans. </w:t>
      </w:r>
    </w:p>
    <w:p w14:paraId="741714E5"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r w:rsidRPr="001675B3">
        <w:rPr>
          <w:rFonts w:eastAsiaTheme="minorHAnsi" w:cs="Arial"/>
          <w:sz w:val="20"/>
          <w:szCs w:val="20"/>
          <w:lang w:eastAsia="en-US"/>
        </w:rPr>
        <w:t xml:space="preserve">• Problemes en el manteniment i responsabilitat tècnica. </w:t>
      </w:r>
    </w:p>
    <w:p w14:paraId="34899193"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p>
    <w:p w14:paraId="1CA27BF6" w14:textId="4BEE55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r w:rsidRPr="001675B3">
        <w:rPr>
          <w:rFonts w:eastAsiaTheme="minorHAnsi" w:cs="Arial"/>
          <w:sz w:val="20"/>
          <w:szCs w:val="20"/>
          <w:lang w:eastAsia="en-US"/>
        </w:rPr>
        <w:t xml:space="preserve">Conclusió </w:t>
      </w:r>
      <w:r w:rsidRPr="001675B3">
        <w:rPr>
          <w:rFonts w:eastAsiaTheme="minorHAnsi" w:cs="Arial"/>
          <w:sz w:val="20"/>
          <w:szCs w:val="20"/>
          <w:lang w:eastAsia="en-US"/>
        </w:rPr>
        <w:t>:</w:t>
      </w:r>
    </w:p>
    <w:p w14:paraId="025B6558"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p>
    <w:p w14:paraId="207A51C1" w14:textId="77777777" w:rsidR="001675B3" w:rsidRPr="001675B3" w:rsidRDefault="001675B3" w:rsidP="001675B3">
      <w:pPr>
        <w:autoSpaceDE w:val="0"/>
        <w:autoSpaceDN w:val="0"/>
        <w:adjustRightInd w:val="0"/>
        <w:spacing w:after="0" w:line="240" w:lineRule="auto"/>
        <w:jc w:val="both"/>
        <w:rPr>
          <w:rFonts w:eastAsiaTheme="minorHAnsi" w:cs="Arial"/>
          <w:sz w:val="20"/>
          <w:szCs w:val="20"/>
          <w:lang w:eastAsia="en-US"/>
        </w:rPr>
      </w:pPr>
      <w:r w:rsidRPr="001675B3">
        <w:rPr>
          <w:rFonts w:eastAsiaTheme="minorHAnsi" w:cs="Arial"/>
          <w:sz w:val="20"/>
          <w:szCs w:val="20"/>
          <w:lang w:eastAsia="en-US"/>
        </w:rPr>
        <w:t xml:space="preserve">La decisió adoptada respon a criteris estrictament tècnics orientats a garantir la funcionalitat dels equips, la seguretat del pacient, la compatibilitat dels sistemes i l’eficiència operativa. La divisió en tres lots es considera l’opció òptima, evitant una fragmentació excessiva que podria comprometre la correcta execució del contracte. </w:t>
      </w:r>
    </w:p>
    <w:p w14:paraId="53A1CE90" w14:textId="0F9F143C" w:rsidR="0041597E" w:rsidRPr="001675B3" w:rsidRDefault="001675B3" w:rsidP="001675B3">
      <w:pPr>
        <w:autoSpaceDE w:val="0"/>
        <w:autoSpaceDN w:val="0"/>
        <w:adjustRightInd w:val="0"/>
        <w:spacing w:after="0" w:line="240" w:lineRule="auto"/>
        <w:jc w:val="both"/>
        <w:rPr>
          <w:rFonts w:cs="Arial"/>
          <w:sz w:val="20"/>
          <w:szCs w:val="20"/>
          <w:lang w:eastAsia="es-ES"/>
        </w:rPr>
      </w:pPr>
      <w:r w:rsidRPr="001675B3">
        <w:rPr>
          <w:rFonts w:eastAsiaTheme="minorHAnsi" w:cs="Arial"/>
          <w:sz w:val="20"/>
          <w:szCs w:val="20"/>
          <w:lang w:eastAsia="en-US"/>
        </w:rPr>
        <w:t>Els licitadors estan obligats a presentar oferta per tots els articles que componen el lot. Els licitadors que no presentin oferta per a la totalitat d’articles quedaran exclosos de la licitació.</w:t>
      </w:r>
    </w:p>
    <w:sectPr w:rsidR="0041597E" w:rsidRPr="001675B3" w:rsidSect="00CE36A4">
      <w:headerReference w:type="default" r:id="rId10"/>
      <w:footerReference w:type="default" r:id="rId11"/>
      <w:pgSz w:w="11906" w:h="16838"/>
      <w:pgMar w:top="2410"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F1E9" w14:textId="77777777" w:rsidR="0062654C" w:rsidRDefault="0062654C" w:rsidP="00F454D8">
      <w:pPr>
        <w:spacing w:after="0" w:line="240" w:lineRule="auto"/>
      </w:pPr>
      <w:r>
        <w:separator/>
      </w:r>
    </w:p>
  </w:endnote>
  <w:endnote w:type="continuationSeparator" w:id="0">
    <w:p w14:paraId="7D7A1511" w14:textId="77777777" w:rsidR="0062654C" w:rsidRDefault="0062654C" w:rsidP="00F4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599B" w14:textId="77777777" w:rsidR="00900292" w:rsidRDefault="004065E8">
    <w:pPr>
      <w:pStyle w:val="Peu"/>
    </w:pPr>
    <w:r w:rsidRPr="004065E8">
      <w:rPr>
        <w:noProof/>
      </w:rPr>
      <w:drawing>
        <wp:anchor distT="0" distB="0" distL="114300" distR="114300" simplePos="0" relativeHeight="251660288" behindDoc="0" locked="0" layoutInCell="1" allowOverlap="1" wp14:anchorId="25528529" wp14:editId="69CB4F48">
          <wp:simplePos x="0" y="0"/>
          <wp:positionH relativeFrom="page">
            <wp:posOffset>5444490</wp:posOffset>
          </wp:positionH>
          <wp:positionV relativeFrom="paragraph">
            <wp:posOffset>-194310</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0F41" w14:textId="77777777" w:rsidR="0062654C" w:rsidRDefault="0062654C" w:rsidP="00F454D8">
      <w:pPr>
        <w:spacing w:after="0" w:line="240" w:lineRule="auto"/>
      </w:pPr>
      <w:r>
        <w:separator/>
      </w:r>
    </w:p>
  </w:footnote>
  <w:footnote w:type="continuationSeparator" w:id="0">
    <w:p w14:paraId="3DFFAA4E" w14:textId="77777777" w:rsidR="0062654C" w:rsidRDefault="0062654C" w:rsidP="00F45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EC7B" w14:textId="77777777" w:rsidR="00F454D8" w:rsidRDefault="00F454D8">
    <w:pPr>
      <w:pStyle w:val="Capalera"/>
    </w:pPr>
  </w:p>
  <w:p w14:paraId="56B0F04A" w14:textId="77777777" w:rsidR="00F454D8" w:rsidRDefault="00EC4601">
    <w:pPr>
      <w:pStyle w:val="Capalera"/>
    </w:pPr>
    <w:r>
      <w:rPr>
        <w:noProof/>
      </w:rPr>
      <w:drawing>
        <wp:anchor distT="0" distB="0" distL="0" distR="0" simplePos="0" relativeHeight="251658240" behindDoc="0" locked="0" layoutInCell="1" allowOverlap="1" wp14:anchorId="5BC8FC52" wp14:editId="4884AFA1">
          <wp:simplePos x="0" y="0"/>
          <wp:positionH relativeFrom="page">
            <wp:posOffset>683260</wp:posOffset>
          </wp:positionH>
          <wp:positionV relativeFrom="page">
            <wp:posOffset>629920</wp:posOffset>
          </wp:positionV>
          <wp:extent cx="1528445" cy="30416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CS_C_A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28445" cy="304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7BEF"/>
    <w:multiLevelType w:val="hybridMultilevel"/>
    <w:tmpl w:val="981614E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A803E6A"/>
    <w:multiLevelType w:val="hybridMultilevel"/>
    <w:tmpl w:val="75801AE6"/>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43F0360"/>
    <w:multiLevelType w:val="hybridMultilevel"/>
    <w:tmpl w:val="3440F0B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5EB0AD8"/>
    <w:multiLevelType w:val="hybridMultilevel"/>
    <w:tmpl w:val="7D2A2CA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81125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86926287">
    <w:abstractNumId w:val="2"/>
  </w:num>
  <w:num w:numId="2" w16cid:durableId="1847010671">
    <w:abstractNumId w:val="0"/>
  </w:num>
  <w:num w:numId="3" w16cid:durableId="1002657825">
    <w:abstractNumId w:val="3"/>
  </w:num>
  <w:num w:numId="4" w16cid:durableId="1547597992">
    <w:abstractNumId w:val="1"/>
  </w:num>
  <w:num w:numId="5" w16cid:durableId="2049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D8"/>
    <w:rsid w:val="00005BB8"/>
    <w:rsid w:val="00005E98"/>
    <w:rsid w:val="0002264B"/>
    <w:rsid w:val="0004172E"/>
    <w:rsid w:val="00054411"/>
    <w:rsid w:val="00065F93"/>
    <w:rsid w:val="000673BB"/>
    <w:rsid w:val="0007532A"/>
    <w:rsid w:val="0008216F"/>
    <w:rsid w:val="000A42C9"/>
    <w:rsid w:val="000D5C86"/>
    <w:rsid w:val="00105018"/>
    <w:rsid w:val="001150FE"/>
    <w:rsid w:val="0016725E"/>
    <w:rsid w:val="001675B3"/>
    <w:rsid w:val="00196162"/>
    <w:rsid w:val="001F2DFC"/>
    <w:rsid w:val="002258BD"/>
    <w:rsid w:val="00227795"/>
    <w:rsid w:val="00233B64"/>
    <w:rsid w:val="00241350"/>
    <w:rsid w:val="00247B10"/>
    <w:rsid w:val="002A1ACB"/>
    <w:rsid w:val="002C33FB"/>
    <w:rsid w:val="00312C38"/>
    <w:rsid w:val="0037780A"/>
    <w:rsid w:val="003A5440"/>
    <w:rsid w:val="004065E8"/>
    <w:rsid w:val="0041597E"/>
    <w:rsid w:val="00436473"/>
    <w:rsid w:val="0046181C"/>
    <w:rsid w:val="00470A8C"/>
    <w:rsid w:val="00475BC3"/>
    <w:rsid w:val="00487A4C"/>
    <w:rsid w:val="004A37D5"/>
    <w:rsid w:val="004D453B"/>
    <w:rsid w:val="00526168"/>
    <w:rsid w:val="005334C6"/>
    <w:rsid w:val="005505E3"/>
    <w:rsid w:val="0057114A"/>
    <w:rsid w:val="00586F07"/>
    <w:rsid w:val="0062654C"/>
    <w:rsid w:val="006348BD"/>
    <w:rsid w:val="006A1D4F"/>
    <w:rsid w:val="006B4CAB"/>
    <w:rsid w:val="006B5A9D"/>
    <w:rsid w:val="007D0AD6"/>
    <w:rsid w:val="007D4DE8"/>
    <w:rsid w:val="007D7384"/>
    <w:rsid w:val="00815478"/>
    <w:rsid w:val="008B395B"/>
    <w:rsid w:val="00900292"/>
    <w:rsid w:val="009468C4"/>
    <w:rsid w:val="00973C45"/>
    <w:rsid w:val="009B0F3C"/>
    <w:rsid w:val="00A53191"/>
    <w:rsid w:val="00A7317C"/>
    <w:rsid w:val="00AD47DA"/>
    <w:rsid w:val="00BE673C"/>
    <w:rsid w:val="00C10920"/>
    <w:rsid w:val="00C125A6"/>
    <w:rsid w:val="00C20D6A"/>
    <w:rsid w:val="00C9570A"/>
    <w:rsid w:val="00CA7AD1"/>
    <w:rsid w:val="00CB5187"/>
    <w:rsid w:val="00CE36A4"/>
    <w:rsid w:val="00D746AC"/>
    <w:rsid w:val="00D75A70"/>
    <w:rsid w:val="00DE75F5"/>
    <w:rsid w:val="00E556F8"/>
    <w:rsid w:val="00EC4559"/>
    <w:rsid w:val="00EC4601"/>
    <w:rsid w:val="00F454D8"/>
    <w:rsid w:val="00F6279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17824"/>
  <w15:docId w15:val="{84121362-C13F-43E5-A8EE-91A964AB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4D8"/>
    <w:rPr>
      <w:rFonts w:ascii="Arial" w:eastAsia="Times New Roman" w:hAnsi="Arial" w:cs="Times New Roman"/>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454D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454D8"/>
    <w:rPr>
      <w:rFonts w:ascii="Arial" w:eastAsia="Times New Roman" w:hAnsi="Arial" w:cs="Times New Roman"/>
      <w:lang w:eastAsia="ca-ES"/>
    </w:rPr>
  </w:style>
  <w:style w:type="paragraph" w:styleId="Peu">
    <w:name w:val="footer"/>
    <w:basedOn w:val="Normal"/>
    <w:link w:val="PeuCar"/>
    <w:uiPriority w:val="99"/>
    <w:unhideWhenUsed/>
    <w:rsid w:val="00F454D8"/>
    <w:pPr>
      <w:tabs>
        <w:tab w:val="center" w:pos="4252"/>
        <w:tab w:val="right" w:pos="8504"/>
      </w:tabs>
      <w:spacing w:after="0" w:line="240" w:lineRule="auto"/>
    </w:pPr>
  </w:style>
  <w:style w:type="character" w:customStyle="1" w:styleId="PeuCar">
    <w:name w:val="Peu Car"/>
    <w:basedOn w:val="Lletraperdefectedelpargraf"/>
    <w:link w:val="Peu"/>
    <w:uiPriority w:val="99"/>
    <w:rsid w:val="00F454D8"/>
    <w:rPr>
      <w:rFonts w:ascii="Arial" w:eastAsia="Times New Roman" w:hAnsi="Arial" w:cs="Times New Roman"/>
      <w:lang w:eastAsia="ca-ES"/>
    </w:rPr>
  </w:style>
  <w:style w:type="paragraph" w:styleId="Textdeglobus">
    <w:name w:val="Balloon Text"/>
    <w:basedOn w:val="Normal"/>
    <w:link w:val="TextdeglobusCar"/>
    <w:uiPriority w:val="99"/>
    <w:semiHidden/>
    <w:unhideWhenUsed/>
    <w:rsid w:val="00F454D8"/>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454D8"/>
    <w:rPr>
      <w:rFonts w:ascii="Tahoma" w:eastAsia="Times New Roman" w:hAnsi="Tahoma" w:cs="Tahoma"/>
      <w:sz w:val="16"/>
      <w:szCs w:val="16"/>
      <w:lang w:eastAsia="ca-ES"/>
    </w:rPr>
  </w:style>
  <w:style w:type="paragraph" w:customStyle="1" w:styleId="Nria12">
    <w:name w:val="Núria 12"/>
    <w:basedOn w:val="Capalera"/>
    <w:rsid w:val="00F454D8"/>
    <w:pPr>
      <w:tabs>
        <w:tab w:val="left" w:pos="993"/>
      </w:tabs>
    </w:pPr>
    <w:rPr>
      <w:sz w:val="24"/>
      <w:szCs w:val="20"/>
      <w:lang w:eastAsia="es-ES"/>
    </w:rPr>
  </w:style>
  <w:style w:type="paragraph" w:styleId="Pargrafdellista">
    <w:name w:val="List Paragraph"/>
    <w:basedOn w:val="Normal"/>
    <w:uiPriority w:val="34"/>
    <w:qFormat/>
    <w:rsid w:val="007D7384"/>
    <w:pPr>
      <w:ind w:left="720"/>
      <w:contextualSpacing/>
    </w:pPr>
  </w:style>
  <w:style w:type="paragraph" w:customStyle="1" w:styleId="Default">
    <w:name w:val="Default"/>
    <w:rsid w:val="001675B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4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57160-921A-45D7-8236-04F822FB7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A7B034-29B6-4BC8-A53F-C59F99DAE35C}">
  <ds:schemaRefs>
    <ds:schemaRef ds:uri="http://schemas.microsoft.com/sharepoint/v3/contenttype/forms"/>
  </ds:schemaRefs>
</ds:datastoreItem>
</file>

<file path=customXml/itemProps3.xml><?xml version="1.0" encoding="utf-8"?>
<ds:datastoreItem xmlns:ds="http://schemas.openxmlformats.org/officeDocument/2006/customXml" ds:itemID="{DC7F70A3-5798-4C3A-9AE8-EEC49599C4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555</Words>
  <Characters>3170</Characters>
  <Application>Microsoft Office Word</Application>
  <DocSecurity>0</DocSecurity>
  <Lines>26</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Olmo Panadero</dc:creator>
  <cp:lastModifiedBy>Gonzalez Ares, Silvia</cp:lastModifiedBy>
  <cp:revision>6</cp:revision>
  <cp:lastPrinted>2018-12-18T08:58:00Z</cp:lastPrinted>
  <dcterms:created xsi:type="dcterms:W3CDTF">2023-03-10T13:21:00Z</dcterms:created>
  <dcterms:modified xsi:type="dcterms:W3CDTF">2026-04-15T09:56:00Z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