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C8" w:rsidRDefault="00C50BC8" w:rsidP="00C50BC8">
      <w:pPr>
        <w:jc w:val="both"/>
      </w:pPr>
      <w:r>
        <w:t xml:space="preserve">El Sr./La Sra.......................................... amb NIF núm................., </w:t>
      </w:r>
      <w:r>
        <w:rPr>
          <w:i/>
          <w:iCs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t xml:space="preserve"> </w:t>
      </w:r>
      <w:r>
        <w:rPr>
          <w:i/>
          <w:iCs/>
        </w:rPr>
        <w:t>(persona de contacte......................,</w:t>
      </w:r>
      <w:r>
        <w:t xml:space="preserve"> adreça de correu electrònic ................, telèfon núm. ............... i fax núm.. .. .....................), assabentat/da de les condicions exigides per optar a la contractació consistent en </w:t>
      </w:r>
      <w:r w:rsidRPr="00853652">
        <w:t xml:space="preserve">el subministrament i servei pel manteniment i suport Integral de la infraestructura de comunicacions sense fils i serveis professionals d'unificació de xarxes </w:t>
      </w:r>
      <w:proofErr w:type="spellStart"/>
      <w:r w:rsidRPr="00853652">
        <w:t>Wi</w:t>
      </w:r>
      <w:proofErr w:type="spellEnd"/>
      <w:r w:rsidRPr="00853652">
        <w:t>-Fi a l'Ajuntament de Sant Pere de Ribes</w:t>
      </w:r>
      <w:r>
        <w:t>, que accepta íntegrament, per la quantitat total de:</w:t>
      </w:r>
    </w:p>
    <w:p w:rsidR="00C50BC8" w:rsidRDefault="00C50BC8" w:rsidP="00C50BC8">
      <w:pPr>
        <w:jc w:val="both"/>
      </w:pPr>
    </w:p>
    <w:p w:rsidR="00C50BC8" w:rsidRDefault="00C50BC8" w:rsidP="00C50BC8"/>
    <w:p w:rsidR="00C50BC8" w:rsidRPr="00C50BC8" w:rsidRDefault="00C50BC8" w:rsidP="00C50BC8">
      <w:pPr>
        <w:pStyle w:val="Pargrafdellista"/>
        <w:numPr>
          <w:ilvl w:val="0"/>
          <w:numId w:val="2"/>
        </w:numPr>
        <w:rPr>
          <w:rFonts w:cs="Arial"/>
        </w:rPr>
      </w:pPr>
      <w:r w:rsidRPr="00C50BC8">
        <w:rPr>
          <w:b/>
          <w:bCs/>
        </w:rPr>
        <w:t>línies de connectivitat principal de FTTH)</w:t>
      </w:r>
      <w:r>
        <w:t xml:space="preserve"> </w:t>
      </w:r>
      <w:r w:rsidRPr="00C50BC8">
        <w:rPr>
          <w:u w:val="single"/>
        </w:rPr>
        <w:t>per als dos anys de contracte</w:t>
      </w:r>
      <w:r>
        <w:t xml:space="preserve"> .............. euros, IVA exclòs.</w:t>
      </w:r>
    </w:p>
    <w:p w:rsidR="00C50BC8" w:rsidRDefault="00C50BC8" w:rsidP="00C50BC8">
      <w:pPr>
        <w:ind w:left="709"/>
        <w:rPr>
          <w:rFonts w:ascii="Calibri" w:hAnsi="Calibri" w:cs="Calibri"/>
          <w:lang w:eastAsia="en-US"/>
        </w:rPr>
      </w:pPr>
    </w:p>
    <w:p w:rsidR="00C50BC8" w:rsidRDefault="00C50BC8" w:rsidP="00C50BC8">
      <w:r>
        <w:t>L’import de l’IVA, al 21 %., és de ....................</w:t>
      </w:r>
      <w:r>
        <w:rPr>
          <w:rFonts w:ascii="Verdana" w:hAnsi="Verdana"/>
          <w:sz w:val="18"/>
          <w:szCs w:val="18"/>
        </w:rPr>
        <w:t xml:space="preserve"> </w:t>
      </w:r>
      <w:r>
        <w:t>€. (40 punts)</w:t>
      </w:r>
    </w:p>
    <w:p w:rsidR="00C50BC8" w:rsidRDefault="00C50BC8" w:rsidP="00C50BC8">
      <w:pPr>
        <w:jc w:val="both"/>
      </w:pPr>
    </w:p>
    <w:p w:rsidR="00C50BC8" w:rsidRDefault="00C50BC8" w:rsidP="00C50BC8">
      <w:pPr>
        <w:jc w:val="both"/>
      </w:pPr>
    </w:p>
    <w:p w:rsidR="00C50BC8" w:rsidRDefault="00C50BC8" w:rsidP="00C50BC8">
      <w:pPr>
        <w:jc w:val="both"/>
        <w:rPr>
          <w:rFonts w:cs="Arial"/>
        </w:rPr>
      </w:pPr>
      <w:r>
        <w:rPr>
          <w:b/>
          <w:bCs/>
        </w:rPr>
        <w:t xml:space="preserve">     </w:t>
      </w:r>
      <w:bookmarkStart w:id="0" w:name="_GoBack"/>
      <w:bookmarkEnd w:id="0"/>
      <w:r>
        <w:rPr>
          <w:b/>
          <w:bCs/>
        </w:rPr>
        <w:t xml:space="preserve">2) </w:t>
      </w:r>
      <w:r>
        <w:rPr>
          <w:b/>
          <w:bCs/>
        </w:rPr>
        <w:t>Serveis unificació (pagament únic)</w:t>
      </w:r>
      <w:r>
        <w:t xml:space="preserve"> </w:t>
      </w:r>
      <w:r>
        <w:t xml:space="preserve">i </w:t>
      </w:r>
      <w:r>
        <w:rPr>
          <w:b/>
          <w:bCs/>
        </w:rPr>
        <w:t>Serveis de Manteniment integral</w:t>
      </w:r>
      <w:r>
        <w:t>.............. euros, IVA exclòs.</w:t>
      </w:r>
    </w:p>
    <w:p w:rsidR="00C50BC8" w:rsidRDefault="00C50BC8" w:rsidP="00C50BC8">
      <w:pPr>
        <w:ind w:left="709"/>
        <w:rPr>
          <w:rFonts w:ascii="Calibri" w:hAnsi="Calibri" w:cs="Calibri"/>
          <w:lang w:eastAsia="en-US"/>
        </w:rPr>
      </w:pPr>
    </w:p>
    <w:p w:rsidR="00C50BC8" w:rsidRDefault="00C50BC8" w:rsidP="00C50BC8">
      <w:r>
        <w:t>L’import de l’IVA, al 21 %., és de ....................</w:t>
      </w:r>
      <w:r>
        <w:rPr>
          <w:rFonts w:ascii="Verdana" w:hAnsi="Verdana"/>
          <w:sz w:val="18"/>
          <w:szCs w:val="18"/>
        </w:rPr>
        <w:t xml:space="preserve"> </w:t>
      </w:r>
      <w:r>
        <w:t>€.</w:t>
      </w:r>
      <w:r>
        <w:t xml:space="preserve"> (40 punts)</w:t>
      </w:r>
    </w:p>
    <w:p w:rsidR="00C50BC8" w:rsidRDefault="00C50BC8" w:rsidP="00C50BC8"/>
    <w:p w:rsidR="00C50BC8" w:rsidRDefault="00C50BC8" w:rsidP="00C50BC8"/>
    <w:p w:rsidR="00C50BC8" w:rsidRDefault="00C50BC8" w:rsidP="00C50BC8"/>
    <w:tbl>
      <w:tblPr>
        <w:tblpPr w:leftFromText="141" w:rightFromText="141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706"/>
        <w:gridCol w:w="706"/>
        <w:gridCol w:w="867"/>
        <w:gridCol w:w="801"/>
        <w:gridCol w:w="883"/>
        <w:gridCol w:w="1156"/>
        <w:gridCol w:w="572"/>
        <w:gridCol w:w="812"/>
        <w:gridCol w:w="814"/>
      </w:tblGrid>
      <w:tr w:rsidR="00C50BC8" w:rsidTr="008841E5">
        <w:tc>
          <w:tcPr>
            <w:tcW w:w="673" w:type="pc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Concepte</w:t>
            </w:r>
          </w:p>
        </w:tc>
        <w:tc>
          <w:tcPr>
            <w:tcW w:w="783" w:type="pct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 sense IVA licitació</w:t>
            </w:r>
          </w:p>
        </w:tc>
        <w:tc>
          <w:tcPr>
            <w:tcW w:w="525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020" w:type="pct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 amb IVA licitació</w:t>
            </w:r>
          </w:p>
        </w:tc>
        <w:tc>
          <w:tcPr>
            <w:tcW w:w="1014" w:type="pct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Import sense IVA </w:t>
            </w:r>
            <w:proofErr w:type="spellStart"/>
            <w:r>
              <w:rPr>
                <w:sz w:val="16"/>
                <w:szCs w:val="16"/>
              </w:rPr>
              <w:t>ofertat</w:t>
            </w:r>
            <w:proofErr w:type="spellEnd"/>
          </w:p>
        </w:tc>
        <w:tc>
          <w:tcPr>
            <w:tcW w:w="985" w:type="pct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Import amb IVA </w:t>
            </w:r>
            <w:proofErr w:type="spellStart"/>
            <w:r>
              <w:rPr>
                <w:sz w:val="16"/>
                <w:szCs w:val="16"/>
              </w:rPr>
              <w:t>ofertat</w:t>
            </w:r>
            <w:proofErr w:type="spellEnd"/>
          </w:p>
        </w:tc>
      </w:tr>
      <w:tr w:rsidR="00C50BC8" w:rsidTr="008841E5">
        <w:tc>
          <w:tcPr>
            <w:tcW w:w="673" w:type="pc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Serveis d'unificació (pagament únic))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2.500 €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3.025€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 €</w:t>
            </w:r>
          </w:p>
        </w:tc>
        <w:tc>
          <w:tcPr>
            <w:tcW w:w="985" w:type="pct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 €</w:t>
            </w:r>
          </w:p>
        </w:tc>
      </w:tr>
      <w:tr w:rsidR="00C50BC8" w:rsidTr="008841E5">
        <w:trPr>
          <w:trHeight w:val="315"/>
        </w:trPr>
        <w:tc>
          <w:tcPr>
            <w:tcW w:w="673" w:type="pct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Serveis de Manteniment integral i línies de connectivitat principal de FTTH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any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anys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any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anys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anys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any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anys</w:t>
            </w:r>
          </w:p>
        </w:tc>
      </w:tr>
      <w:tr w:rsidR="00C50BC8" w:rsidTr="008841E5">
        <w:trPr>
          <w:trHeight w:val="31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C50BC8" w:rsidRDefault="00C50BC8" w:rsidP="008841E5">
            <w:pPr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16.000 € </w:t>
            </w:r>
          </w:p>
        </w:tc>
        <w:tc>
          <w:tcPr>
            <w:tcW w:w="392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32.000 € </w:t>
            </w:r>
          </w:p>
        </w:tc>
        <w:tc>
          <w:tcPr>
            <w:tcW w:w="525" w:type="pct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19.360 €</w:t>
            </w:r>
          </w:p>
        </w:tc>
        <w:tc>
          <w:tcPr>
            <w:tcW w:w="534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38.720€</w:t>
            </w:r>
          </w:p>
        </w:tc>
        <w:tc>
          <w:tcPr>
            <w:tcW w:w="695" w:type="pct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 €</w:t>
            </w:r>
          </w:p>
        </w:tc>
        <w:tc>
          <w:tcPr>
            <w:tcW w:w="319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 €</w:t>
            </w:r>
          </w:p>
        </w:tc>
        <w:tc>
          <w:tcPr>
            <w:tcW w:w="492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 €</w:t>
            </w:r>
          </w:p>
        </w:tc>
        <w:tc>
          <w:tcPr>
            <w:tcW w:w="492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hideMark/>
          </w:tcPr>
          <w:p w:rsidR="00C50BC8" w:rsidRDefault="00C50BC8" w:rsidP="008841E5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 €</w:t>
            </w:r>
          </w:p>
        </w:tc>
      </w:tr>
    </w:tbl>
    <w:p w:rsidR="00C50BC8" w:rsidRDefault="00C50BC8" w:rsidP="00C50BC8">
      <w:pPr>
        <w:rPr>
          <w:rFonts w:eastAsiaTheme="minorHAnsi" w:cs="Arial"/>
          <w:sz w:val="22"/>
          <w:szCs w:val="22"/>
        </w:rPr>
      </w:pPr>
    </w:p>
    <w:p w:rsidR="00C50BC8" w:rsidRDefault="00C50BC8" w:rsidP="00C50BC8">
      <w:pPr>
        <w:rPr>
          <w:rFonts w:ascii="Calibri" w:hAnsi="Calibri" w:cs="Calibri"/>
          <w:lang w:val="es-ES" w:eastAsia="en-US"/>
        </w:rPr>
      </w:pPr>
    </w:p>
    <w:p w:rsidR="00C50BC8" w:rsidRDefault="00C50BC8" w:rsidP="00C50BC8">
      <w:pPr>
        <w:pStyle w:val="Textindependent"/>
        <w:spacing w:before="1"/>
        <w:ind w:right="21"/>
        <w:jc w:val="both"/>
        <w:rPr>
          <w:color w:val="000000"/>
          <w:szCs w:val="20"/>
        </w:rPr>
      </w:pPr>
      <w:r>
        <w:rPr>
          <w:b w:val="0"/>
          <w:bCs w:val="0"/>
          <w:szCs w:val="20"/>
        </w:rPr>
        <w:t xml:space="preserve">Les </w:t>
      </w:r>
      <w:proofErr w:type="spellStart"/>
      <w:r>
        <w:rPr>
          <w:b w:val="0"/>
          <w:bCs w:val="0"/>
          <w:szCs w:val="20"/>
        </w:rPr>
        <w:t>empreses</w:t>
      </w:r>
      <w:proofErr w:type="spellEnd"/>
      <w:r>
        <w:rPr>
          <w:b w:val="0"/>
          <w:bCs w:val="0"/>
          <w:szCs w:val="20"/>
        </w:rPr>
        <w:t xml:space="preserve"> licitadores també </w:t>
      </w:r>
      <w:proofErr w:type="spellStart"/>
      <w:r>
        <w:rPr>
          <w:b w:val="0"/>
          <w:bCs w:val="0"/>
          <w:szCs w:val="20"/>
        </w:rPr>
        <w:t>hauran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d’indicar</w:t>
      </w:r>
      <w:proofErr w:type="spellEnd"/>
      <w:r>
        <w:rPr>
          <w:b w:val="0"/>
          <w:bCs w:val="0"/>
          <w:szCs w:val="20"/>
        </w:rPr>
        <w:t xml:space="preserve"> la </w:t>
      </w:r>
      <w:proofErr w:type="spellStart"/>
      <w:r>
        <w:rPr>
          <w:b w:val="0"/>
          <w:bCs w:val="0"/>
          <w:szCs w:val="20"/>
        </w:rPr>
        <w:t>solució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proposada</w:t>
      </w:r>
      <w:proofErr w:type="spellEnd"/>
      <w:r>
        <w:rPr>
          <w:b w:val="0"/>
          <w:bCs w:val="0"/>
          <w:szCs w:val="20"/>
        </w:rPr>
        <w:t xml:space="preserve">, </w:t>
      </w:r>
      <w:proofErr w:type="spellStart"/>
      <w:r>
        <w:rPr>
          <w:b w:val="0"/>
          <w:bCs w:val="0"/>
          <w:szCs w:val="20"/>
        </w:rPr>
        <w:t>adjuntant</w:t>
      </w:r>
      <w:proofErr w:type="spellEnd"/>
      <w:r>
        <w:rPr>
          <w:b w:val="0"/>
          <w:bCs w:val="0"/>
          <w:szCs w:val="20"/>
        </w:rPr>
        <w:t xml:space="preserve"> una </w:t>
      </w:r>
      <w:proofErr w:type="spellStart"/>
      <w:r>
        <w:rPr>
          <w:b w:val="0"/>
          <w:bCs w:val="0"/>
          <w:szCs w:val="20"/>
        </w:rPr>
        <w:t>descripció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tècnica</w:t>
      </w:r>
      <w:proofErr w:type="spellEnd"/>
      <w:r>
        <w:rPr>
          <w:b w:val="0"/>
          <w:bCs w:val="0"/>
          <w:szCs w:val="20"/>
        </w:rPr>
        <w:t xml:space="preserve"> de la </w:t>
      </w:r>
      <w:proofErr w:type="spellStart"/>
      <w:r>
        <w:rPr>
          <w:b w:val="0"/>
          <w:bCs w:val="0"/>
          <w:szCs w:val="20"/>
        </w:rPr>
        <w:t>mateixa</w:t>
      </w:r>
      <w:proofErr w:type="spellEnd"/>
      <w:r>
        <w:rPr>
          <w:b w:val="0"/>
          <w:bCs w:val="0"/>
          <w:szCs w:val="20"/>
        </w:rPr>
        <w:t xml:space="preserve">, que </w:t>
      </w:r>
      <w:proofErr w:type="spellStart"/>
      <w:r>
        <w:rPr>
          <w:b w:val="0"/>
          <w:bCs w:val="0"/>
          <w:szCs w:val="20"/>
        </w:rPr>
        <w:t>permeti</w:t>
      </w:r>
      <w:proofErr w:type="spellEnd"/>
      <w:r>
        <w:rPr>
          <w:b w:val="0"/>
          <w:bCs w:val="0"/>
          <w:szCs w:val="20"/>
        </w:rPr>
        <w:t xml:space="preserve"> verificar que </w:t>
      </w:r>
      <w:proofErr w:type="spellStart"/>
      <w:r>
        <w:rPr>
          <w:b w:val="0"/>
          <w:bCs w:val="0"/>
          <w:szCs w:val="20"/>
        </w:rPr>
        <w:t>l’oferta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és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admissible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d’acord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amb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els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criteris</w:t>
      </w:r>
      <w:proofErr w:type="spellEnd"/>
      <w:r>
        <w:rPr>
          <w:b w:val="0"/>
          <w:bCs w:val="0"/>
          <w:szCs w:val="20"/>
        </w:rPr>
        <w:t xml:space="preserve"> que figuren en </w:t>
      </w:r>
      <w:proofErr w:type="spellStart"/>
      <w:r>
        <w:rPr>
          <w:b w:val="0"/>
          <w:bCs w:val="0"/>
          <w:szCs w:val="20"/>
        </w:rPr>
        <w:t>els</w:t>
      </w:r>
      <w:proofErr w:type="spellEnd"/>
      <w:r>
        <w:rPr>
          <w:b w:val="0"/>
          <w:bCs w:val="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plecs</w:t>
      </w:r>
      <w:proofErr w:type="spellEnd"/>
      <w:r>
        <w:rPr>
          <w:b w:val="0"/>
          <w:bCs w:val="0"/>
          <w:szCs w:val="20"/>
        </w:rPr>
        <w:t>:</w:t>
      </w:r>
    </w:p>
    <w:p w:rsidR="00C50BC8" w:rsidRDefault="00C50BC8" w:rsidP="00C50BC8">
      <w:pPr>
        <w:spacing w:after="27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C50BC8" w:rsidRDefault="00C50BC8" w:rsidP="00C50BC8">
      <w:pPr>
        <w:pStyle w:val="Pargrafdellista"/>
        <w:spacing w:after="27"/>
        <w:ind w:left="709"/>
        <w:contextualSpacing/>
        <w:rPr>
          <w:color w:val="000000"/>
        </w:rPr>
      </w:pPr>
    </w:p>
    <w:p w:rsidR="00C50BC8" w:rsidRDefault="00C50BC8" w:rsidP="00C50BC8">
      <w:pPr>
        <w:pStyle w:val="Pargrafdellista"/>
        <w:numPr>
          <w:ilvl w:val="0"/>
          <w:numId w:val="1"/>
        </w:numPr>
        <w:autoSpaceDE w:val="0"/>
        <w:autoSpaceDN w:val="0"/>
        <w:spacing w:after="27"/>
        <w:ind w:left="284" w:hanging="284"/>
        <w:contextualSpacing/>
        <w:rPr>
          <w:b/>
          <w:bCs/>
          <w:color w:val="000000"/>
        </w:rPr>
      </w:pPr>
      <w:r>
        <w:rPr>
          <w:color w:val="000000"/>
        </w:rPr>
        <w:t>Millora del servei d`atenció a usuaris, fins a 15 punts.</w:t>
      </w:r>
    </w:p>
    <w:p w:rsidR="00C50BC8" w:rsidRDefault="00C50BC8" w:rsidP="00C50BC8">
      <w:pPr>
        <w:pStyle w:val="Pargrafdellista"/>
        <w:spacing w:after="27"/>
        <w:ind w:left="284"/>
        <w:contextualSpacing/>
        <w:rPr>
          <w:b/>
          <w:bCs/>
          <w:color w:val="000000"/>
        </w:rPr>
      </w:pPr>
    </w:p>
    <w:tbl>
      <w:tblPr>
        <w:tblW w:w="90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111"/>
      </w:tblGrid>
      <w:tr w:rsidR="00C50BC8" w:rsidRPr="00853652" w:rsidTr="008841E5">
        <w:trPr>
          <w:trHeight w:val="454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C8" w:rsidRPr="00853652" w:rsidRDefault="00C50BC8" w:rsidP="008841E5">
            <w:pPr>
              <w:rPr>
                <w:rFonts w:cs="Arial"/>
                <w:sz w:val="18"/>
                <w:szCs w:val="18"/>
              </w:rPr>
            </w:pPr>
            <w:bookmarkStart w:id="1" w:name="_Hlk92738366"/>
            <w:r>
              <w:rPr>
                <w:rFonts w:cs="Arial"/>
                <w:sz w:val="18"/>
                <w:szCs w:val="18"/>
              </w:rPr>
              <w:t xml:space="preserve">Inclusió </w:t>
            </w:r>
            <w:r w:rsidRPr="00853652">
              <w:rPr>
                <w:rFonts w:cs="Arial"/>
                <w:sz w:val="18"/>
                <w:szCs w:val="18"/>
              </w:rPr>
              <w:t>servei d’atenció a usuaris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C8" w:rsidRPr="00853652" w:rsidRDefault="00C50BC8" w:rsidP="008841E5">
            <w:pPr>
              <w:jc w:val="center"/>
              <w:rPr>
                <w:rFonts w:cs="Arial"/>
                <w:sz w:val="18"/>
                <w:szCs w:val="18"/>
              </w:rPr>
            </w:pPr>
            <w:r w:rsidRPr="00853652">
              <w:rPr>
                <w:rFonts w:cs="Arial"/>
                <w:sz w:val="18"/>
                <w:szCs w:val="18"/>
              </w:rPr>
              <w:t>□  Sí                         □  No</w:t>
            </w:r>
          </w:p>
        </w:tc>
      </w:tr>
      <w:bookmarkEnd w:id="1"/>
      <w:tr w:rsidR="00C50BC8" w:rsidRPr="00853652" w:rsidTr="008841E5">
        <w:trPr>
          <w:trHeight w:val="454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C8" w:rsidRPr="00853652" w:rsidRDefault="00C50BC8" w:rsidP="008841E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853652">
              <w:rPr>
                <w:rFonts w:cs="Arial"/>
                <w:sz w:val="18"/>
                <w:szCs w:val="18"/>
              </w:rPr>
              <w:t xml:space="preserve">ervei </w:t>
            </w:r>
            <w:r>
              <w:rPr>
                <w:rFonts w:cs="Arial"/>
                <w:sz w:val="18"/>
                <w:szCs w:val="18"/>
              </w:rPr>
              <w:t>amb</w:t>
            </w:r>
            <w:r w:rsidRPr="00853652">
              <w:rPr>
                <w:rFonts w:cs="Arial"/>
                <w:sz w:val="18"/>
                <w:szCs w:val="18"/>
              </w:rPr>
              <w:t xml:space="preserve"> disponibilitat 24 h. x 365 dies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C8" w:rsidRPr="00853652" w:rsidRDefault="00C50BC8" w:rsidP="008841E5">
            <w:pPr>
              <w:rPr>
                <w:rFonts w:cs="Arial"/>
                <w:sz w:val="18"/>
                <w:szCs w:val="18"/>
              </w:rPr>
            </w:pPr>
            <w:r w:rsidRPr="00853652">
              <w:rPr>
                <w:rFonts w:cs="Arial"/>
                <w:sz w:val="18"/>
                <w:szCs w:val="18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 xml:space="preserve">            </w:t>
            </w:r>
            <w:r w:rsidRPr="00853652">
              <w:rPr>
                <w:rFonts w:cs="Arial"/>
                <w:sz w:val="18"/>
                <w:szCs w:val="18"/>
              </w:rPr>
              <w:t>□  Sí                         □  No</w:t>
            </w:r>
          </w:p>
        </w:tc>
      </w:tr>
      <w:tr w:rsidR="00C50BC8" w:rsidRPr="00853652" w:rsidTr="008841E5">
        <w:trPr>
          <w:trHeight w:val="454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C8" w:rsidRPr="00853652" w:rsidRDefault="00C50BC8" w:rsidP="008841E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853652">
              <w:rPr>
                <w:rFonts w:cs="Arial"/>
                <w:sz w:val="18"/>
                <w:szCs w:val="18"/>
              </w:rPr>
              <w:t>ervei disponible a través d’un telèfon gratuït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C8" w:rsidRPr="00853652" w:rsidRDefault="00C50BC8" w:rsidP="008841E5">
            <w:pPr>
              <w:rPr>
                <w:rFonts w:cs="Arial"/>
                <w:sz w:val="18"/>
                <w:szCs w:val="18"/>
              </w:rPr>
            </w:pPr>
            <w:r w:rsidRPr="00853652">
              <w:rPr>
                <w:rFonts w:cs="Arial"/>
                <w:sz w:val="18"/>
                <w:szCs w:val="18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 xml:space="preserve">            </w:t>
            </w:r>
            <w:r w:rsidRPr="00853652">
              <w:rPr>
                <w:rFonts w:cs="Arial"/>
                <w:sz w:val="18"/>
                <w:szCs w:val="18"/>
              </w:rPr>
              <w:t>□  Sí                         □  No</w:t>
            </w:r>
          </w:p>
        </w:tc>
      </w:tr>
    </w:tbl>
    <w:p w:rsidR="00C50BC8" w:rsidRDefault="00C50BC8" w:rsidP="00C50BC8">
      <w:pPr>
        <w:autoSpaceDE w:val="0"/>
        <w:autoSpaceDN w:val="0"/>
        <w:contextualSpacing/>
        <w:rPr>
          <w:b/>
          <w:bCs/>
          <w:color w:val="000000"/>
        </w:rPr>
      </w:pPr>
    </w:p>
    <w:p w:rsidR="00C50BC8" w:rsidRPr="00853652" w:rsidRDefault="00C50BC8" w:rsidP="00C50BC8">
      <w:pPr>
        <w:autoSpaceDE w:val="0"/>
        <w:autoSpaceDN w:val="0"/>
        <w:contextualSpacing/>
        <w:rPr>
          <w:b/>
          <w:bCs/>
          <w:color w:val="000000"/>
        </w:rPr>
      </w:pPr>
    </w:p>
    <w:p w:rsidR="00C50BC8" w:rsidRPr="00853652" w:rsidRDefault="00C50BC8" w:rsidP="00C50BC8">
      <w:pPr>
        <w:pStyle w:val="Pargrafdellista"/>
        <w:numPr>
          <w:ilvl w:val="0"/>
          <w:numId w:val="1"/>
        </w:numPr>
        <w:autoSpaceDE w:val="0"/>
        <w:autoSpaceDN w:val="0"/>
        <w:ind w:left="284" w:hanging="284"/>
        <w:contextualSpacing/>
        <w:rPr>
          <w:b/>
          <w:bCs/>
          <w:color w:val="000000"/>
        </w:rPr>
      </w:pPr>
      <w:r>
        <w:rPr>
          <w:color w:val="000000"/>
        </w:rPr>
        <w:t>Altres millores, fins a 5 punts.</w:t>
      </w:r>
    </w:p>
    <w:p w:rsidR="00C50BC8" w:rsidRDefault="00C50BC8" w:rsidP="00C50BC8">
      <w:pPr>
        <w:autoSpaceDE w:val="0"/>
        <w:autoSpaceDN w:val="0"/>
        <w:contextualSpacing/>
        <w:rPr>
          <w:b/>
          <w:bCs/>
          <w:color w:val="000000"/>
        </w:rPr>
      </w:pPr>
    </w:p>
    <w:tbl>
      <w:tblPr>
        <w:tblW w:w="90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111"/>
      </w:tblGrid>
      <w:tr w:rsidR="00C50BC8" w:rsidRPr="00853652" w:rsidTr="008841E5">
        <w:trPr>
          <w:trHeight w:val="454"/>
          <w:jc w:val="righ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C8" w:rsidRPr="00853652" w:rsidRDefault="00C50BC8" w:rsidP="008841E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Pr="00853652">
              <w:rPr>
                <w:rFonts w:cs="Arial"/>
                <w:sz w:val="18"/>
                <w:szCs w:val="18"/>
              </w:rPr>
              <w:t>ecursos tècnics i materials en un radi inferior a 25 quilòmetres del municipi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C8" w:rsidRPr="00853652" w:rsidRDefault="00C50BC8" w:rsidP="008841E5">
            <w:pPr>
              <w:jc w:val="center"/>
              <w:rPr>
                <w:rFonts w:cs="Arial"/>
                <w:sz w:val="18"/>
                <w:szCs w:val="18"/>
              </w:rPr>
            </w:pPr>
            <w:r w:rsidRPr="00853652">
              <w:rPr>
                <w:rFonts w:cs="Arial"/>
                <w:sz w:val="18"/>
                <w:szCs w:val="18"/>
              </w:rPr>
              <w:t>□  Sí                         □  No</w:t>
            </w:r>
          </w:p>
        </w:tc>
      </w:tr>
    </w:tbl>
    <w:p w:rsidR="00C50BC8" w:rsidRPr="00853652" w:rsidRDefault="00C50BC8" w:rsidP="00C50BC8">
      <w:pPr>
        <w:autoSpaceDE w:val="0"/>
        <w:autoSpaceDN w:val="0"/>
        <w:contextualSpacing/>
        <w:rPr>
          <w:b/>
          <w:bCs/>
          <w:color w:val="000000"/>
        </w:rPr>
      </w:pPr>
    </w:p>
    <w:p w:rsidR="00C50BC8" w:rsidRDefault="00C50BC8" w:rsidP="00C50BC8">
      <w:pPr>
        <w:pStyle w:val="Pargrafdellista"/>
        <w:ind w:left="2196"/>
        <w:contextualSpacing/>
        <w:rPr>
          <w:color w:val="000000"/>
        </w:rPr>
      </w:pPr>
    </w:p>
    <w:p w:rsidR="00C50BC8" w:rsidRDefault="00C50BC8" w:rsidP="00C50BC8">
      <w:pPr>
        <w:pStyle w:val="Textindependent"/>
        <w:ind w:right="21"/>
        <w:jc w:val="both"/>
        <w:rPr>
          <w:color w:val="000000"/>
          <w:szCs w:val="20"/>
        </w:rPr>
      </w:pPr>
      <w:r>
        <w:rPr>
          <w:b w:val="0"/>
          <w:bCs w:val="0"/>
          <w:color w:val="000000"/>
          <w:szCs w:val="20"/>
        </w:rPr>
        <w:lastRenderedPageBreak/>
        <w:t xml:space="preserve">Les </w:t>
      </w:r>
      <w:proofErr w:type="spellStart"/>
      <w:r>
        <w:rPr>
          <w:b w:val="0"/>
          <w:bCs w:val="0"/>
          <w:color w:val="000000"/>
          <w:szCs w:val="20"/>
        </w:rPr>
        <w:t>empreses</w:t>
      </w:r>
      <w:proofErr w:type="spellEnd"/>
      <w:r>
        <w:rPr>
          <w:b w:val="0"/>
          <w:bCs w:val="0"/>
          <w:color w:val="000000"/>
          <w:szCs w:val="20"/>
        </w:rPr>
        <w:t xml:space="preserve"> licitadores també </w:t>
      </w:r>
      <w:proofErr w:type="spellStart"/>
      <w:r>
        <w:rPr>
          <w:b w:val="0"/>
          <w:bCs w:val="0"/>
          <w:color w:val="000000"/>
          <w:szCs w:val="20"/>
        </w:rPr>
        <w:t>hauran</w:t>
      </w:r>
      <w:proofErr w:type="spellEnd"/>
      <w:r>
        <w:rPr>
          <w:b w:val="0"/>
          <w:bCs w:val="0"/>
          <w:color w:val="000000"/>
          <w:szCs w:val="20"/>
        </w:rPr>
        <w:t xml:space="preserve"> de manifestar el </w:t>
      </w:r>
      <w:proofErr w:type="spellStart"/>
      <w:r>
        <w:rPr>
          <w:b w:val="0"/>
          <w:bCs w:val="0"/>
          <w:color w:val="000000"/>
          <w:szCs w:val="20"/>
        </w:rPr>
        <w:t>compromís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d'acceptació</w:t>
      </w:r>
      <w:proofErr w:type="spellEnd"/>
      <w:r>
        <w:rPr>
          <w:b w:val="0"/>
          <w:bCs w:val="0"/>
          <w:color w:val="000000"/>
          <w:szCs w:val="20"/>
        </w:rPr>
        <w:t xml:space="preserve"> de </w:t>
      </w:r>
      <w:proofErr w:type="spellStart"/>
      <w:r>
        <w:rPr>
          <w:b w:val="0"/>
          <w:bCs w:val="0"/>
          <w:color w:val="000000"/>
          <w:szCs w:val="20"/>
        </w:rPr>
        <w:t>tots</w:t>
      </w:r>
      <w:proofErr w:type="spellEnd"/>
      <w:r>
        <w:rPr>
          <w:b w:val="0"/>
          <w:bCs w:val="0"/>
          <w:color w:val="000000"/>
          <w:szCs w:val="20"/>
        </w:rPr>
        <w:t xml:space="preserve"> i </w:t>
      </w:r>
      <w:proofErr w:type="spellStart"/>
      <w:r>
        <w:rPr>
          <w:b w:val="0"/>
          <w:bCs w:val="0"/>
          <w:color w:val="000000"/>
          <w:szCs w:val="20"/>
        </w:rPr>
        <w:t>cadascun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dels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requisits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exigits</w:t>
      </w:r>
      <w:proofErr w:type="spellEnd"/>
      <w:r>
        <w:rPr>
          <w:b w:val="0"/>
          <w:bCs w:val="0"/>
          <w:color w:val="000000"/>
          <w:szCs w:val="20"/>
        </w:rPr>
        <w:t xml:space="preserve"> en el PPT. En </w:t>
      </w:r>
      <w:proofErr w:type="spellStart"/>
      <w:r>
        <w:rPr>
          <w:b w:val="0"/>
          <w:bCs w:val="0"/>
          <w:color w:val="000000"/>
          <w:szCs w:val="20"/>
        </w:rPr>
        <w:t>relació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amb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aquest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últim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aspecte</w:t>
      </w:r>
      <w:proofErr w:type="spellEnd"/>
      <w:r>
        <w:rPr>
          <w:b w:val="0"/>
          <w:bCs w:val="0"/>
          <w:color w:val="000000"/>
          <w:szCs w:val="20"/>
        </w:rPr>
        <w:t xml:space="preserve">, </w:t>
      </w:r>
      <w:proofErr w:type="spellStart"/>
      <w:r>
        <w:rPr>
          <w:b w:val="0"/>
          <w:bCs w:val="0"/>
          <w:color w:val="000000"/>
          <w:szCs w:val="20"/>
        </w:rPr>
        <w:t>l'adjudicatari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haurà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d'incloure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indicació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szCs w:val="20"/>
        </w:rPr>
        <w:t>expressa</w:t>
      </w:r>
      <w:proofErr w:type="spellEnd"/>
      <w:r>
        <w:rPr>
          <w:b w:val="0"/>
          <w:bCs w:val="0"/>
          <w:color w:val="000000"/>
          <w:szCs w:val="20"/>
        </w:rPr>
        <w:t xml:space="preserve"> de la </w:t>
      </w:r>
      <w:proofErr w:type="spellStart"/>
      <w:r>
        <w:rPr>
          <w:b w:val="0"/>
          <w:bCs w:val="0"/>
          <w:color w:val="000000"/>
          <w:szCs w:val="20"/>
        </w:rPr>
        <w:t>prevalença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dels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requisits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mínims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expressats</w:t>
      </w:r>
      <w:proofErr w:type="spellEnd"/>
      <w:r>
        <w:rPr>
          <w:b w:val="0"/>
          <w:bCs w:val="0"/>
          <w:color w:val="000000"/>
          <w:szCs w:val="20"/>
        </w:rPr>
        <w:t xml:space="preserve"> sobre </w:t>
      </w:r>
      <w:proofErr w:type="spellStart"/>
      <w:r>
        <w:rPr>
          <w:b w:val="0"/>
          <w:bCs w:val="0"/>
          <w:color w:val="000000"/>
          <w:szCs w:val="20"/>
        </w:rPr>
        <w:t>qualsevol</w:t>
      </w:r>
      <w:proofErr w:type="spellEnd"/>
      <w:r>
        <w:rPr>
          <w:b w:val="0"/>
          <w:bCs w:val="0"/>
          <w:color w:val="000000"/>
          <w:szCs w:val="20"/>
        </w:rPr>
        <w:t xml:space="preserve"> </w:t>
      </w:r>
      <w:proofErr w:type="spellStart"/>
      <w:r>
        <w:rPr>
          <w:b w:val="0"/>
          <w:bCs w:val="0"/>
          <w:color w:val="000000"/>
          <w:szCs w:val="20"/>
        </w:rPr>
        <w:t>inconsistència</w:t>
      </w:r>
      <w:proofErr w:type="spellEnd"/>
      <w:r>
        <w:rPr>
          <w:b w:val="0"/>
          <w:bCs w:val="0"/>
          <w:color w:val="000000"/>
          <w:szCs w:val="20"/>
        </w:rPr>
        <w:t xml:space="preserve"> o error en la </w:t>
      </w:r>
      <w:proofErr w:type="spellStart"/>
      <w:r>
        <w:rPr>
          <w:b w:val="0"/>
          <w:bCs w:val="0"/>
          <w:color w:val="000000"/>
          <w:szCs w:val="20"/>
        </w:rPr>
        <w:t>seva</w:t>
      </w:r>
      <w:proofErr w:type="spellEnd"/>
      <w:r>
        <w:rPr>
          <w:b w:val="0"/>
          <w:bCs w:val="0"/>
          <w:color w:val="000000"/>
          <w:szCs w:val="20"/>
        </w:rPr>
        <w:t xml:space="preserve"> oferta.</w:t>
      </w:r>
    </w:p>
    <w:p w:rsidR="00BC363A" w:rsidRDefault="00BC363A"/>
    <w:sectPr w:rsidR="00BC3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C609F"/>
    <w:multiLevelType w:val="hybridMultilevel"/>
    <w:tmpl w:val="260ABC38"/>
    <w:lvl w:ilvl="0" w:tplc="C89A5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F0416"/>
    <w:multiLevelType w:val="hybridMultilevel"/>
    <w:tmpl w:val="18C8FA6E"/>
    <w:lvl w:ilvl="0" w:tplc="04030005">
      <w:start w:val="1"/>
      <w:numFmt w:val="bullet"/>
      <w:lvlText w:val=""/>
      <w:lvlJc w:val="left"/>
      <w:pPr>
        <w:ind w:left="447" w:hanging="285"/>
      </w:pPr>
      <w:rPr>
        <w:rFonts w:ascii="Wingdings" w:hAnsi="Wingdings" w:hint="default"/>
        <w:w w:val="99"/>
        <w:sz w:val="22"/>
        <w:szCs w:val="22"/>
        <w:lang w:val="ca-ES" w:eastAsia="ca-ES" w:bidi="ca-ES"/>
      </w:rPr>
    </w:lvl>
    <w:lvl w:ilvl="1" w:tplc="30F6B6DA">
      <w:numFmt w:val="bullet"/>
      <w:lvlText w:val="•"/>
      <w:lvlJc w:val="left"/>
      <w:pPr>
        <w:ind w:left="1318" w:hanging="285"/>
      </w:pPr>
      <w:rPr>
        <w:lang w:val="ca-ES" w:eastAsia="ca-ES" w:bidi="ca-ES"/>
      </w:rPr>
    </w:lvl>
    <w:lvl w:ilvl="2" w:tplc="D2582DD4">
      <w:start w:val="1"/>
      <w:numFmt w:val="bullet"/>
      <w:lvlText w:val=""/>
      <w:lvlJc w:val="left"/>
      <w:pPr>
        <w:ind w:left="2196" w:hanging="285"/>
      </w:pPr>
      <w:rPr>
        <w:rFonts w:ascii="Symbol" w:hAnsi="Symbol" w:hint="default"/>
        <w:lang w:val="ca-ES" w:eastAsia="ca-ES" w:bidi="ca-ES"/>
      </w:rPr>
    </w:lvl>
    <w:lvl w:ilvl="3" w:tplc="FF40C7E0">
      <w:numFmt w:val="bullet"/>
      <w:lvlText w:val="•"/>
      <w:lvlJc w:val="left"/>
      <w:pPr>
        <w:ind w:left="3075" w:hanging="285"/>
      </w:pPr>
      <w:rPr>
        <w:lang w:val="ca-ES" w:eastAsia="ca-ES" w:bidi="ca-ES"/>
      </w:rPr>
    </w:lvl>
    <w:lvl w:ilvl="4" w:tplc="982E8506">
      <w:numFmt w:val="bullet"/>
      <w:lvlText w:val="•"/>
      <w:lvlJc w:val="left"/>
      <w:pPr>
        <w:ind w:left="3953" w:hanging="285"/>
      </w:pPr>
      <w:rPr>
        <w:lang w:val="ca-ES" w:eastAsia="ca-ES" w:bidi="ca-ES"/>
      </w:rPr>
    </w:lvl>
    <w:lvl w:ilvl="5" w:tplc="D0F6185A">
      <w:numFmt w:val="bullet"/>
      <w:lvlText w:val="•"/>
      <w:lvlJc w:val="left"/>
      <w:pPr>
        <w:ind w:left="4832" w:hanging="285"/>
      </w:pPr>
      <w:rPr>
        <w:lang w:val="ca-ES" w:eastAsia="ca-ES" w:bidi="ca-ES"/>
      </w:rPr>
    </w:lvl>
    <w:lvl w:ilvl="6" w:tplc="7EAE7C9A">
      <w:numFmt w:val="bullet"/>
      <w:lvlText w:val="•"/>
      <w:lvlJc w:val="left"/>
      <w:pPr>
        <w:ind w:left="5710" w:hanging="285"/>
      </w:pPr>
      <w:rPr>
        <w:lang w:val="ca-ES" w:eastAsia="ca-ES" w:bidi="ca-ES"/>
      </w:rPr>
    </w:lvl>
    <w:lvl w:ilvl="7" w:tplc="7C1CE234">
      <w:numFmt w:val="bullet"/>
      <w:lvlText w:val="•"/>
      <w:lvlJc w:val="left"/>
      <w:pPr>
        <w:ind w:left="6589" w:hanging="285"/>
      </w:pPr>
      <w:rPr>
        <w:lang w:val="ca-ES" w:eastAsia="ca-ES" w:bidi="ca-ES"/>
      </w:rPr>
    </w:lvl>
    <w:lvl w:ilvl="8" w:tplc="A8322266">
      <w:numFmt w:val="bullet"/>
      <w:lvlText w:val="•"/>
      <w:lvlJc w:val="left"/>
      <w:pPr>
        <w:ind w:left="7467" w:hanging="285"/>
      </w:pPr>
      <w:rPr>
        <w:lang w:val="ca-ES" w:eastAsia="ca-ES" w:bidi="ca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C8"/>
    <w:rsid w:val="00B1749E"/>
    <w:rsid w:val="00BC363A"/>
    <w:rsid w:val="00C5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40DB"/>
  <w15:chartTrackingRefBased/>
  <w15:docId w15:val="{C0AAB3DC-B93D-42BE-B9D6-D05B7820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C8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C50BC8"/>
    <w:rPr>
      <w:rFonts w:cs="Arial"/>
      <w:b/>
      <w:bCs/>
      <w:szCs w:val="24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C50BC8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C50BC8"/>
    <w:pPr>
      <w:ind w:left="708"/>
      <w:jc w:val="both"/>
    </w:pPr>
    <w:rPr>
      <w:sz w:val="22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C50BC8"/>
    <w:rPr>
      <w:rFonts w:ascii="Arial" w:eastAsia="Times New Roman" w:hAnsi="Arial" w:cs="Times New Roman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Gabin, Anna</dc:creator>
  <cp:keywords/>
  <dc:description/>
  <cp:lastModifiedBy>Martínez Gabin, Anna</cp:lastModifiedBy>
  <cp:revision>1</cp:revision>
  <dcterms:created xsi:type="dcterms:W3CDTF">2026-04-16T06:44:00Z</dcterms:created>
  <dcterms:modified xsi:type="dcterms:W3CDTF">2026-04-16T06:52:00Z</dcterms:modified>
</cp:coreProperties>
</file>