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1D3A" w14:textId="77777777" w:rsidR="00BD5267" w:rsidRDefault="00BD5267" w:rsidP="0070042F">
      <w:pPr>
        <w:jc w:val="center"/>
        <w:rPr>
          <w:rFonts w:ascii="Arial" w:hAnsi="Arial" w:cs="Arial"/>
          <w:b/>
          <w:sz w:val="20"/>
          <w:szCs w:val="22"/>
          <w:u w:val="single"/>
        </w:rPr>
      </w:pPr>
    </w:p>
    <w:p w14:paraId="4DC27D09" w14:textId="77777777" w:rsidR="00BD5267" w:rsidRDefault="00BD5267" w:rsidP="0070042F">
      <w:pPr>
        <w:jc w:val="center"/>
        <w:rPr>
          <w:rFonts w:ascii="Arial" w:hAnsi="Arial" w:cs="Arial"/>
          <w:b/>
          <w:sz w:val="20"/>
          <w:szCs w:val="22"/>
          <w:u w:val="single"/>
        </w:rPr>
      </w:pPr>
    </w:p>
    <w:p w14:paraId="32FAA705" w14:textId="69932A16"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Default="0019592F" w:rsidP="0070042F">
      <w:pPr>
        <w:tabs>
          <w:tab w:val="left" w:pos="567"/>
        </w:tabs>
        <w:ind w:left="1134" w:right="-1" w:hanging="1134"/>
        <w:jc w:val="center"/>
        <w:rPr>
          <w:rFonts w:ascii="Arial" w:hAnsi="Arial" w:cs="Arial"/>
          <w:b/>
          <w:sz w:val="20"/>
          <w:u w:val="single"/>
        </w:rPr>
      </w:pPr>
    </w:p>
    <w:p w14:paraId="69834415" w14:textId="6BD7C18D" w:rsidR="005D5A3D" w:rsidRDefault="005D5A3D">
      <w:pPr>
        <w:rPr>
          <w:rFonts w:ascii="Arial" w:hAnsi="Arial" w:cs="Arial"/>
          <w:b/>
          <w:sz w:val="20"/>
          <w:u w:val="single"/>
        </w:rPr>
      </w:pPr>
      <w:r>
        <w:rPr>
          <w:rFonts w:ascii="Arial" w:hAnsi="Arial" w:cs="Arial"/>
          <w:b/>
          <w:sz w:val="20"/>
          <w:u w:val="single"/>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lastRenderedPageBreak/>
              <w:t>ANNEX NÚM. 2B</w:t>
            </w: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5D5A3D">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5D5A3D">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5D5A3D">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5D5A3D">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5D5A3D">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5D5A3D">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5D5A3D">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5D5A3D">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5D5A3D">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5D5A3D">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5D5A3D">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5D5A3D">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5D5A3D">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5D5A3D">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5D5A3D">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5D5A3D">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5D5A3D">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5D5A3D">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5D5A3D">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5D5A3D">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5D5A3D">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5D5A3D">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5D5A3D">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41D49671" w14:textId="77777777" w:rsidR="005D5A3D" w:rsidRDefault="005D5A3D">
      <w:pPr>
        <w:rPr>
          <w:rFonts w:ascii="Arial" w:hAnsi="Arial" w:cs="Arial"/>
          <w:b/>
          <w:sz w:val="20"/>
          <w:u w:val="single"/>
        </w:rPr>
      </w:pPr>
      <w:r>
        <w:rPr>
          <w:rFonts w:ascii="Arial" w:hAnsi="Arial" w:cs="Arial"/>
          <w:b/>
          <w:sz w:val="20"/>
          <w:u w:val="single"/>
        </w:rPr>
        <w:br w:type="page"/>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18F8000D" w14:textId="6ADD902D" w:rsidR="000C304F" w:rsidRDefault="004D083B" w:rsidP="00BD5267">
      <w:pPr>
        <w:tabs>
          <w:tab w:val="left" w:pos="1134"/>
          <w:tab w:val="left" w:pos="1560"/>
          <w:tab w:val="left" w:pos="5103"/>
        </w:tabs>
        <w:ind w:right="-1"/>
        <w:jc w:val="center"/>
        <w:rPr>
          <w:rFonts w:ascii="Arial" w:hAnsi="Arial" w:cs="Arial"/>
          <w:sz w:val="20"/>
          <w:szCs w:val="22"/>
        </w:rPr>
      </w:pPr>
      <w:r w:rsidRPr="00C10894">
        <w:rPr>
          <w:rFonts w:ascii="Arial" w:hAnsi="Arial" w:cs="Arial"/>
          <w:b/>
          <w:sz w:val="20"/>
          <w:u w:val="single"/>
        </w:rPr>
        <w:br w:type="page"/>
      </w: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5C569F" w14:textId="16CB8C51"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67595FDA"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w:t>
      </w:r>
      <w:r w:rsidR="000C6619">
        <w:rPr>
          <w:rFonts w:ascii="Arial" w:hAnsi="Arial" w:cs="Arial"/>
          <w:sz w:val="20"/>
          <w:szCs w:val="20"/>
        </w:rPr>
        <w:t>..............</w:t>
      </w:r>
      <w:r w:rsidRPr="00C1089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6ABF19B7" w:rsidR="000C6619" w:rsidRDefault="000C6619">
      <w:pPr>
        <w:rPr>
          <w:rFonts w:ascii="Arial" w:hAnsi="Arial" w:cs="Arial"/>
          <w:sz w:val="20"/>
          <w:szCs w:val="20"/>
        </w:rPr>
      </w:pPr>
      <w:r>
        <w:rPr>
          <w:rFonts w:ascii="Arial" w:hAnsi="Arial" w:cs="Arial"/>
          <w:sz w:val="20"/>
          <w:szCs w:val="20"/>
        </w:rPr>
        <w:br w:type="page"/>
      </w:r>
    </w:p>
    <w:p w14:paraId="393D554F" w14:textId="52F2285C" w:rsidR="0097331E" w:rsidRPr="00C10894" w:rsidRDefault="0097331E" w:rsidP="0070042F">
      <w:pPr>
        <w:jc w:val="center"/>
        <w:rPr>
          <w:rFonts w:ascii="Arial" w:hAnsi="Arial" w:cs="Arial"/>
          <w:sz w:val="20"/>
          <w:szCs w:val="20"/>
        </w:rPr>
      </w:pP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A428AF">
      <w:headerReference w:type="default" r:id="rId9"/>
      <w:footerReference w:type="default" r:id="rId10"/>
      <w:pgSz w:w="11906" w:h="16838" w:code="9"/>
      <w:pgMar w:top="1702" w:right="1701" w:bottom="1418"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D71E" w14:textId="77777777" w:rsidR="00035654" w:rsidRDefault="00035654">
      <w:r>
        <w:separator/>
      </w:r>
    </w:p>
  </w:endnote>
  <w:endnote w:type="continuationSeparator" w:id="0">
    <w:p w14:paraId="40FA034C" w14:textId="77777777" w:rsidR="00035654" w:rsidRDefault="0003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C625" w14:textId="77777777" w:rsidR="00035654" w:rsidRDefault="00035654">
      <w:r>
        <w:separator/>
      </w:r>
    </w:p>
  </w:footnote>
  <w:footnote w:type="continuationSeparator" w:id="0">
    <w:p w14:paraId="492CB026" w14:textId="77777777" w:rsidR="00035654" w:rsidRDefault="0003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0A20"/>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3A31"/>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04F"/>
    <w:rsid w:val="000C3B2F"/>
    <w:rsid w:val="000C4667"/>
    <w:rsid w:val="000C53DC"/>
    <w:rsid w:val="000C559E"/>
    <w:rsid w:val="000C57D2"/>
    <w:rsid w:val="000C6619"/>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4CAF"/>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34CC"/>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7AF"/>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09F"/>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27CA"/>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5CB6"/>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3D20"/>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5681"/>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BF"/>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45"/>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133D"/>
    <w:rsid w:val="004A2174"/>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0A6"/>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CA8"/>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5A3D"/>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0BE"/>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69B"/>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C19"/>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2BDD"/>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082"/>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779"/>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A45"/>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07616"/>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8AF"/>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35D4"/>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5F5A"/>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4E44"/>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4C1"/>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267"/>
    <w:rsid w:val="00BD54D3"/>
    <w:rsid w:val="00BD5BB5"/>
    <w:rsid w:val="00BD5C73"/>
    <w:rsid w:val="00BD5EDB"/>
    <w:rsid w:val="00BD74EB"/>
    <w:rsid w:val="00BD7727"/>
    <w:rsid w:val="00BD77A9"/>
    <w:rsid w:val="00BE03B7"/>
    <w:rsid w:val="00BE041B"/>
    <w:rsid w:val="00BE0B79"/>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470C"/>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9788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6C25"/>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28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AA4"/>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6E34"/>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6570"/>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8C7"/>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3610</Words>
  <Characters>23593</Characters>
  <Application>Microsoft Office Word</Application>
  <DocSecurity>0</DocSecurity>
  <Lines>575</Lines>
  <Paragraphs>160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27043</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Aspas Blasco, Maria Asuncion</cp:lastModifiedBy>
  <cp:revision>61</cp:revision>
  <cp:lastPrinted>2024-04-30T14:26:00Z</cp:lastPrinted>
  <dcterms:created xsi:type="dcterms:W3CDTF">2024-09-30T15:23:00Z</dcterms:created>
  <dcterms:modified xsi:type="dcterms:W3CDTF">2026-04-15T10:33:00Z</dcterms:modified>
</cp:coreProperties>
</file>