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24B2" w14:textId="031B5FFB" w:rsidR="00E17E48" w:rsidRPr="00E17E48" w:rsidRDefault="00E17E48" w:rsidP="00E17E48">
      <w:pPr>
        <w:pStyle w:val="Ttulo1"/>
        <w:spacing w:before="0"/>
        <w:jc w:val="both"/>
        <w:rPr>
          <w:rFonts w:ascii="Arial" w:hAnsi="Arial" w:cs="Arial"/>
          <w:b/>
          <w:bCs/>
          <w:color w:val="auto"/>
          <w:sz w:val="22"/>
          <w:szCs w:val="22"/>
        </w:rPr>
      </w:pPr>
      <w:bookmarkStart w:id="0" w:name="_Toc223510595"/>
      <w:r w:rsidRPr="00E17E48">
        <w:rPr>
          <w:rFonts w:ascii="Arial" w:hAnsi="Arial" w:cs="Arial"/>
          <w:b/>
          <w:bCs/>
          <w:color w:val="auto"/>
          <w:sz w:val="22"/>
          <w:szCs w:val="22"/>
        </w:rPr>
        <w:t>ANNEX IV. PRESENTACIÓ D’OFERTES MITJANÇANT EL CATÀLEG ELECTRÒNIC</w:t>
      </w:r>
      <w:bookmarkEnd w:id="0"/>
    </w:p>
    <w:p w14:paraId="0DF4AA64" w14:textId="77777777" w:rsidR="00E17E48" w:rsidRPr="00183CDB" w:rsidRDefault="00E17E48" w:rsidP="00E17E48">
      <w:pPr>
        <w:jc w:val="both"/>
        <w:rPr>
          <w:rFonts w:ascii="Arial" w:hAnsi="Arial" w:cs="Arial"/>
          <w:b/>
          <w:bCs/>
        </w:rPr>
      </w:pPr>
    </w:p>
    <w:p w14:paraId="7E397D31" w14:textId="77777777" w:rsidR="00E17E48" w:rsidRPr="00183CDB" w:rsidRDefault="00E17E48" w:rsidP="00E17E48">
      <w:pPr>
        <w:jc w:val="both"/>
        <w:rPr>
          <w:rFonts w:ascii="Arial" w:hAnsi="Arial" w:cs="Arial"/>
          <w:b/>
          <w:bCs/>
        </w:rPr>
      </w:pPr>
      <w:bookmarkStart w:id="1" w:name="_Hlk139350286"/>
      <w:r w:rsidRPr="00183CDB">
        <w:rPr>
          <w:rFonts w:ascii="Arial" w:hAnsi="Arial" w:cs="Arial"/>
          <w:b/>
          <w:bCs/>
        </w:rPr>
        <w:t>Definició i funcionalitats del Catàleg electrònic</w:t>
      </w:r>
    </w:p>
    <w:p w14:paraId="7E84A9D9" w14:textId="77777777" w:rsidR="00E17E48" w:rsidRPr="00183CDB" w:rsidRDefault="00E17E48" w:rsidP="00E17E48">
      <w:pPr>
        <w:jc w:val="both"/>
        <w:rPr>
          <w:rFonts w:ascii="Arial" w:hAnsi="Arial" w:cs="Arial"/>
          <w:b/>
          <w:bCs/>
        </w:rPr>
      </w:pPr>
    </w:p>
    <w:p w14:paraId="4274DD26" w14:textId="77777777" w:rsidR="00E17E48" w:rsidRPr="00183CDB" w:rsidRDefault="00E17E48" w:rsidP="00E17E48">
      <w:pPr>
        <w:jc w:val="both"/>
        <w:rPr>
          <w:rFonts w:ascii="Arial" w:hAnsi="Arial" w:cs="Arial"/>
          <w:lang w:val="ca"/>
        </w:rPr>
      </w:pPr>
      <w:bookmarkStart w:id="2" w:name="_Hlk176862537"/>
      <w:r w:rsidRPr="00183CDB">
        <w:rPr>
          <w:rFonts w:ascii="Arial" w:hAnsi="Arial" w:cs="Arial"/>
          <w:lang w:val="ca"/>
        </w:rPr>
        <w:t>El catàleg electrònic és una eina prevista al considerant 36 de la Directiva 2014/24/UE. El defineix com una tècnica electrònica de compra que constitueix un format per a la presentació i organització de la informació de forma comuna per a tots els licitadors participants. Estableix la possibilitat que els poders adjudicadors puguin exigir la presentació de les ofertes en catàlegs electrònics en tots els procediments en els quals s’exigeix l’ús de mitjans electrònics.</w:t>
      </w:r>
      <w:bookmarkEnd w:id="2"/>
      <w:r w:rsidRPr="00183CDB">
        <w:rPr>
          <w:rFonts w:ascii="Arial" w:hAnsi="Arial" w:cs="Arial"/>
          <w:lang w:val="ca"/>
        </w:rPr>
        <w:t xml:space="preserve"> Mitjançant aquests instruments es busca planificar les licitacions assolint economies d’escala i, alhora, aconseguint la optimització dels mitjans adscrits, així com la reducció del temps que es requereix per fer la licitació.</w:t>
      </w:r>
    </w:p>
    <w:p w14:paraId="1854C343" w14:textId="77777777" w:rsidR="00E17E48" w:rsidRPr="00183CDB" w:rsidRDefault="00E17E48" w:rsidP="00E17E48">
      <w:pPr>
        <w:jc w:val="both"/>
        <w:rPr>
          <w:rFonts w:ascii="Arial" w:hAnsi="Arial" w:cs="Arial"/>
          <w:lang w:val="ca"/>
        </w:rPr>
      </w:pPr>
    </w:p>
    <w:p w14:paraId="06D3AD9F" w14:textId="77777777" w:rsidR="00E17E48" w:rsidRPr="00183CDB" w:rsidRDefault="00E17E48" w:rsidP="00E17E48">
      <w:pPr>
        <w:jc w:val="both"/>
        <w:rPr>
          <w:rFonts w:ascii="Arial" w:hAnsi="Arial" w:cs="Arial"/>
          <w:lang w:val="ca"/>
        </w:rPr>
      </w:pPr>
      <w:r w:rsidRPr="00183CDB">
        <w:rPr>
          <w:rFonts w:ascii="Arial" w:hAnsi="Arial" w:cs="Arial"/>
          <w:lang w:val="ca"/>
        </w:rPr>
        <w:t>En el cas de la Central de contractació de la Mancomunitat la Plana</w:t>
      </w:r>
      <w:r>
        <w:rPr>
          <w:rFonts w:ascii="Arial" w:hAnsi="Arial" w:cs="Arial"/>
          <w:lang w:val="ca"/>
        </w:rPr>
        <w:t>,</w:t>
      </w:r>
      <w:r w:rsidRPr="00183CDB">
        <w:rPr>
          <w:rFonts w:ascii="Arial" w:hAnsi="Arial" w:cs="Arial"/>
          <w:lang w:val="ca"/>
        </w:rPr>
        <w:t xml:space="preserve"> el </w:t>
      </w:r>
      <w:r w:rsidRPr="00183CDB">
        <w:rPr>
          <w:rFonts w:ascii="Arial" w:eastAsia="Arial" w:hAnsi="Arial" w:cs="Arial"/>
          <w:color w:val="000000"/>
          <w:kern w:val="0"/>
          <w:lang w:eastAsia="ca-ES"/>
          <w14:ligatures w14:val="none"/>
        </w:rPr>
        <w:t xml:space="preserve">catàleg electrònic es realitza mitjançant la url </w:t>
      </w:r>
      <w:hyperlink r:id="rId7" w:history="1">
        <w:r w:rsidRPr="00183CDB">
          <w:rPr>
            <w:rFonts w:ascii="Arial" w:eastAsia="Arial" w:hAnsi="Arial" w:cs="Arial"/>
            <w:color w:val="0563C1" w:themeColor="hyperlink"/>
            <w:kern w:val="0"/>
            <w:u w:val="single"/>
            <w:lang w:eastAsia="ca-ES"/>
            <w14:ligatures w14:val="none"/>
          </w:rPr>
          <w:t>https://compres.mancoplana.cat/</w:t>
        </w:r>
      </w:hyperlink>
    </w:p>
    <w:p w14:paraId="01B85CCB" w14:textId="77777777" w:rsidR="00E17E48" w:rsidRPr="00183CDB" w:rsidRDefault="00E17E48" w:rsidP="00E17E48">
      <w:pPr>
        <w:jc w:val="both"/>
        <w:rPr>
          <w:rFonts w:ascii="Arial" w:hAnsi="Arial" w:cs="Arial"/>
          <w:lang w:val="ca"/>
        </w:rPr>
      </w:pPr>
    </w:p>
    <w:p w14:paraId="18CC9BC9" w14:textId="77777777" w:rsidR="00E17E48" w:rsidRPr="00183CDB" w:rsidRDefault="00E17E48" w:rsidP="00E17E48">
      <w:pPr>
        <w:jc w:val="both"/>
        <w:rPr>
          <w:rFonts w:ascii="Arial" w:hAnsi="Arial" w:cs="Arial"/>
          <w:lang w:val="ca"/>
        </w:rPr>
      </w:pPr>
      <w:r w:rsidRPr="00183CDB">
        <w:rPr>
          <w:rFonts w:ascii="Arial" w:hAnsi="Arial" w:cs="Arial"/>
          <w:lang w:val="ca"/>
        </w:rPr>
        <w:t>L’actuació del poder adjudicador ha d’atendre els principis rectors de la contractació administrativa com són l’accés a les licitacions, publicitat i transparència, la no discriminació i igualtat de tracte, la integritat, l’eficiència en la gestió dels fons públics, la salvaguarda de la lliure competència, o la selecció de l’oferta més avantatjosa.</w:t>
      </w:r>
    </w:p>
    <w:p w14:paraId="7C811ECC" w14:textId="77777777" w:rsidR="00E17E48" w:rsidRPr="00183CDB" w:rsidRDefault="00E17E48" w:rsidP="00E17E48">
      <w:pPr>
        <w:jc w:val="both"/>
        <w:rPr>
          <w:rFonts w:ascii="Arial" w:eastAsia="Garamond" w:hAnsi="Arial" w:cs="Arial"/>
          <w:lang w:val="ca"/>
        </w:rPr>
      </w:pPr>
    </w:p>
    <w:p w14:paraId="00877279" w14:textId="77777777" w:rsidR="00E17E48" w:rsidRPr="00183CDB" w:rsidRDefault="00E17E48" w:rsidP="00E17E48">
      <w:pPr>
        <w:jc w:val="both"/>
        <w:rPr>
          <w:rFonts w:ascii="Arial" w:hAnsi="Arial" w:cs="Arial"/>
          <w:lang w:val="ca"/>
        </w:rPr>
      </w:pPr>
      <w:r w:rsidRPr="00183CDB">
        <w:rPr>
          <w:rFonts w:ascii="Arial" w:hAnsi="Arial" w:cs="Arial"/>
          <w:lang w:val="ca"/>
        </w:rPr>
        <w:t xml:space="preserve">Així doncs, les empreses admeses </w:t>
      </w:r>
      <w:r>
        <w:rPr>
          <w:rFonts w:ascii="Arial" w:hAnsi="Arial" w:cs="Arial"/>
          <w:lang w:val="ca"/>
        </w:rPr>
        <w:t xml:space="preserve">en el </w:t>
      </w:r>
      <w:r w:rsidRPr="00183CDB">
        <w:rPr>
          <w:rFonts w:ascii="Arial" w:hAnsi="Arial" w:cs="Arial"/>
          <w:lang w:val="ca"/>
        </w:rPr>
        <w:t>SDA, hauran d'adaptar els seus catàlegs generals en funció del procediment específic de contractació. Aquesta adaptació garanteix que el catàleg transmès per respondre a un determinat procediment de contractació només incorpori productes que els operadors econòmics hagin estimat que responen a les necessitats del poder adjudicador.</w:t>
      </w:r>
    </w:p>
    <w:p w14:paraId="673F30E5" w14:textId="77777777" w:rsidR="00E17E48" w:rsidRPr="00183CDB" w:rsidRDefault="00E17E48" w:rsidP="00E17E48">
      <w:pPr>
        <w:jc w:val="both"/>
        <w:rPr>
          <w:rFonts w:ascii="Arial" w:hAnsi="Arial" w:cs="Arial"/>
          <w:lang w:val="ca"/>
        </w:rPr>
      </w:pPr>
    </w:p>
    <w:p w14:paraId="7E43B015" w14:textId="77777777" w:rsidR="00E17E48" w:rsidRPr="00183CDB" w:rsidRDefault="00E17E48" w:rsidP="00E17E48">
      <w:pPr>
        <w:jc w:val="both"/>
        <w:rPr>
          <w:rFonts w:ascii="Arial" w:hAnsi="Arial" w:cs="Arial"/>
          <w:b/>
          <w:bCs/>
          <w:lang w:val="ca"/>
        </w:rPr>
      </w:pPr>
      <w:r w:rsidRPr="00183CDB">
        <w:rPr>
          <w:rFonts w:ascii="Arial" w:hAnsi="Arial" w:cs="Arial"/>
          <w:b/>
          <w:bCs/>
          <w:lang w:val="ca"/>
        </w:rPr>
        <w:t>Format de presentació d’ofertes de les empreses</w:t>
      </w:r>
    </w:p>
    <w:p w14:paraId="05C71AB5" w14:textId="77777777" w:rsidR="00E17E48" w:rsidRPr="00183CDB" w:rsidRDefault="00E17E48" w:rsidP="00E17E48">
      <w:pPr>
        <w:jc w:val="both"/>
        <w:rPr>
          <w:rFonts w:ascii="Arial" w:hAnsi="Arial" w:cs="Arial"/>
          <w:b/>
          <w:bCs/>
          <w:lang w:val="ca"/>
        </w:rPr>
      </w:pPr>
    </w:p>
    <w:p w14:paraId="425835A5" w14:textId="77777777" w:rsidR="00E17E48" w:rsidRPr="00183CDB" w:rsidRDefault="00E17E48" w:rsidP="00E17E48">
      <w:pPr>
        <w:jc w:val="both"/>
        <w:rPr>
          <w:rFonts w:ascii="Arial" w:hAnsi="Arial" w:cs="Arial"/>
        </w:rPr>
      </w:pPr>
      <w:r>
        <w:rPr>
          <w:rFonts w:ascii="Arial" w:hAnsi="Arial" w:cs="Arial"/>
        </w:rPr>
        <w:t>La Mancomunitat és qui estableix</w:t>
      </w:r>
      <w:r w:rsidRPr="00183CDB">
        <w:rPr>
          <w:rFonts w:ascii="Arial" w:hAnsi="Arial" w:cs="Arial"/>
        </w:rPr>
        <w:t xml:space="preserve"> el format de presentació d’ofertes dels catàlegs electrònics, al qual els licitadors hauran d’adaptar les seves ofertes, la forma de presentació d’aquestes i l’eina electrònica utilitzada per al seu tractament.</w:t>
      </w:r>
    </w:p>
    <w:p w14:paraId="4D0ED501" w14:textId="77777777" w:rsidR="00E17E48" w:rsidRPr="00183CDB" w:rsidRDefault="00E17E48" w:rsidP="00E17E48">
      <w:pPr>
        <w:jc w:val="both"/>
        <w:rPr>
          <w:rFonts w:ascii="Arial" w:hAnsi="Arial" w:cs="Arial"/>
        </w:rPr>
      </w:pPr>
    </w:p>
    <w:p w14:paraId="4D0E6DF1" w14:textId="77777777" w:rsidR="00E17E48" w:rsidRPr="00183CDB" w:rsidRDefault="00E17E48" w:rsidP="00E17E48">
      <w:pPr>
        <w:jc w:val="both"/>
        <w:rPr>
          <w:rFonts w:ascii="Arial" w:hAnsi="Arial" w:cs="Arial"/>
        </w:rPr>
      </w:pPr>
      <w:bookmarkStart w:id="3" w:name="_Hlk176862912"/>
      <w:r w:rsidRPr="00183CDB">
        <w:rPr>
          <w:rFonts w:ascii="Arial" w:hAnsi="Arial" w:cs="Arial"/>
        </w:rPr>
        <w:t>Totes les empreses licitadores hauran de presentar les ofertes en un format únic que permetrà comparar les ofertes entre elles i agilitzar el procediment d’adjudicació.</w:t>
      </w:r>
    </w:p>
    <w:bookmarkEnd w:id="3"/>
    <w:p w14:paraId="3D9C8394" w14:textId="77777777" w:rsidR="00E17E48" w:rsidRPr="00183CDB" w:rsidRDefault="00E17E48" w:rsidP="00E17E48">
      <w:pPr>
        <w:jc w:val="both"/>
        <w:rPr>
          <w:rFonts w:ascii="Arial" w:hAnsi="Arial" w:cs="Arial"/>
        </w:rPr>
      </w:pPr>
    </w:p>
    <w:p w14:paraId="3870941E" w14:textId="77777777" w:rsidR="00E17E48" w:rsidRPr="00183CDB" w:rsidRDefault="00E17E48" w:rsidP="00E17E48">
      <w:pPr>
        <w:jc w:val="both"/>
        <w:rPr>
          <w:rFonts w:ascii="Arial" w:hAnsi="Arial" w:cs="Arial"/>
          <w:lang w:val="ca"/>
        </w:rPr>
      </w:pPr>
      <w:r w:rsidRPr="00183CDB">
        <w:rPr>
          <w:rFonts w:ascii="Arial" w:hAnsi="Arial" w:cs="Arial"/>
        </w:rPr>
        <w:t xml:space="preserve">Amb la presentació dels documents per l’adhesió al SDA, el licitador haurà de presentar un catàleg inicial segons el format establert per l’òrgan de contractació. Aquest catàleg pot ser posteriorment completat amb més productes i es podran donar de baixa aquells que estiguin obsolets. En el catàleg electrònic </w:t>
      </w:r>
      <w:r w:rsidRPr="00183CDB">
        <w:rPr>
          <w:rFonts w:ascii="Arial" w:hAnsi="Arial" w:cs="Arial"/>
          <w:lang w:val="ca"/>
        </w:rPr>
        <w:t>només es podran oferir productes que responguin als requisits del poder adjudicador i serà responsabilitat del licitador proporcionar la informació adequada. Els proveïdors, a més de completar els catàlegs electrònics, poden adjuntar altres documents que completin les ofertes.</w:t>
      </w:r>
    </w:p>
    <w:p w14:paraId="51EF0416" w14:textId="77777777" w:rsidR="00E17E48" w:rsidRPr="00183CDB" w:rsidRDefault="00E17E48" w:rsidP="00E17E48">
      <w:pPr>
        <w:jc w:val="both"/>
        <w:rPr>
          <w:rFonts w:ascii="Arial" w:hAnsi="Arial" w:cs="Arial"/>
          <w:lang w:val="ca"/>
        </w:rPr>
      </w:pPr>
    </w:p>
    <w:p w14:paraId="597C9AE1" w14:textId="77777777" w:rsidR="00E17E48" w:rsidRDefault="00E17E48" w:rsidP="00E17E48">
      <w:pPr>
        <w:jc w:val="both"/>
        <w:rPr>
          <w:rFonts w:ascii="Arial" w:hAnsi="Arial" w:cs="Arial"/>
        </w:rPr>
      </w:pPr>
      <w:r w:rsidRPr="00183CDB">
        <w:rPr>
          <w:rFonts w:ascii="Arial" w:hAnsi="Arial" w:cs="Arial"/>
        </w:rPr>
        <w:t xml:space="preserve">El catàleg es remetrà en un arxiu .xlsx amb els següents camps </w:t>
      </w:r>
      <w:r w:rsidRPr="000F0BEB">
        <w:rPr>
          <w:rFonts w:ascii="Arial" w:hAnsi="Arial" w:cs="Arial"/>
          <w:b/>
          <w:bCs/>
        </w:rPr>
        <w:t>obligatoris</w:t>
      </w:r>
      <w:r>
        <w:rPr>
          <w:rFonts w:ascii="Arial" w:hAnsi="Arial" w:cs="Arial"/>
        </w:rPr>
        <w:t xml:space="preserve"> </w:t>
      </w:r>
      <w:r w:rsidRPr="00183CDB">
        <w:rPr>
          <w:rFonts w:ascii="Arial" w:hAnsi="Arial" w:cs="Arial"/>
        </w:rPr>
        <w:t>informats</w:t>
      </w:r>
      <w:r>
        <w:rPr>
          <w:rFonts w:ascii="Arial" w:hAnsi="Arial" w:cs="Arial"/>
        </w:rPr>
        <w:t xml:space="preserve"> següents</w:t>
      </w:r>
      <w:r w:rsidRPr="00183CDB">
        <w:rPr>
          <w:rFonts w:ascii="Arial" w:hAnsi="Arial" w:cs="Arial"/>
        </w:rPr>
        <w:t>:</w:t>
      </w:r>
    </w:p>
    <w:p w14:paraId="3D2CAD89" w14:textId="77777777" w:rsidR="00E17E48" w:rsidRPr="00183CDB" w:rsidRDefault="00E17E48" w:rsidP="00E17E48">
      <w:pPr>
        <w:jc w:val="both"/>
        <w:rPr>
          <w:rFonts w:ascii="Arial" w:hAnsi="Arial" w:cs="Arial"/>
        </w:rPr>
      </w:pPr>
    </w:p>
    <w:p w14:paraId="0D006096" w14:textId="77777777" w:rsidR="00E17E48" w:rsidRPr="008F3C8B" w:rsidRDefault="00E17E48" w:rsidP="00E17E48">
      <w:pPr>
        <w:numPr>
          <w:ilvl w:val="0"/>
          <w:numId w:val="1"/>
        </w:numPr>
        <w:ind w:left="567" w:right="4054" w:hanging="283"/>
        <w:contextualSpacing/>
        <w:jc w:val="both"/>
        <w:rPr>
          <w:rFonts w:ascii="Arial" w:hAnsi="Arial" w:cs="Arial"/>
        </w:rPr>
      </w:pPr>
      <w:r w:rsidRPr="008F3C8B">
        <w:rPr>
          <w:rFonts w:ascii="Arial" w:hAnsi="Arial" w:cs="Arial"/>
        </w:rPr>
        <w:t>Categoria del SDA</w:t>
      </w:r>
    </w:p>
    <w:p w14:paraId="62860799" w14:textId="77777777" w:rsidR="00E17E48" w:rsidRPr="008F3C8B" w:rsidRDefault="00E17E48" w:rsidP="00E17E48">
      <w:pPr>
        <w:numPr>
          <w:ilvl w:val="0"/>
          <w:numId w:val="1"/>
        </w:numPr>
        <w:ind w:left="567" w:right="4054" w:hanging="283"/>
        <w:contextualSpacing/>
        <w:jc w:val="both"/>
        <w:rPr>
          <w:rFonts w:ascii="Arial" w:hAnsi="Arial" w:cs="Arial"/>
        </w:rPr>
      </w:pPr>
      <w:r w:rsidRPr="008F3C8B">
        <w:rPr>
          <w:rFonts w:ascii="Arial" w:hAnsi="Arial" w:cs="Arial"/>
        </w:rPr>
        <w:lastRenderedPageBreak/>
        <w:t>Codi article</w:t>
      </w:r>
    </w:p>
    <w:p w14:paraId="4ADE5FC2" w14:textId="77777777" w:rsidR="00E17E48" w:rsidRDefault="00E17E48" w:rsidP="00E17E48">
      <w:pPr>
        <w:numPr>
          <w:ilvl w:val="0"/>
          <w:numId w:val="1"/>
        </w:numPr>
        <w:ind w:left="567" w:right="4054" w:hanging="283"/>
        <w:contextualSpacing/>
        <w:jc w:val="both"/>
        <w:rPr>
          <w:rFonts w:ascii="Arial" w:hAnsi="Arial" w:cs="Arial"/>
        </w:rPr>
      </w:pPr>
      <w:r w:rsidRPr="008F3C8B">
        <w:rPr>
          <w:rFonts w:ascii="Arial" w:hAnsi="Arial" w:cs="Arial"/>
        </w:rPr>
        <w:t>Descripció de l'article</w:t>
      </w:r>
    </w:p>
    <w:p w14:paraId="0417C292" w14:textId="118EA16E" w:rsidR="006B0CEF" w:rsidRPr="008F3C8B" w:rsidRDefault="006B0CEF" w:rsidP="00E17E48">
      <w:pPr>
        <w:numPr>
          <w:ilvl w:val="0"/>
          <w:numId w:val="1"/>
        </w:numPr>
        <w:ind w:left="567" w:right="4054" w:hanging="283"/>
        <w:contextualSpacing/>
        <w:jc w:val="both"/>
        <w:rPr>
          <w:rFonts w:ascii="Arial" w:hAnsi="Arial" w:cs="Arial"/>
        </w:rPr>
      </w:pPr>
      <w:r>
        <w:rPr>
          <w:rFonts w:ascii="Arial" w:hAnsi="Arial" w:cs="Arial"/>
        </w:rPr>
        <w:t>Termini d’entrega</w:t>
      </w:r>
    </w:p>
    <w:p w14:paraId="500C73E3" w14:textId="77777777" w:rsidR="00E17E48" w:rsidRPr="008F3C8B" w:rsidRDefault="00E17E48" w:rsidP="00E17E48">
      <w:pPr>
        <w:numPr>
          <w:ilvl w:val="0"/>
          <w:numId w:val="1"/>
        </w:numPr>
        <w:ind w:left="567" w:right="4054" w:hanging="283"/>
        <w:contextualSpacing/>
        <w:jc w:val="both"/>
        <w:rPr>
          <w:rFonts w:ascii="Arial" w:hAnsi="Arial" w:cs="Arial"/>
        </w:rPr>
      </w:pPr>
      <w:r w:rsidRPr="008F3C8B">
        <w:rPr>
          <w:rFonts w:ascii="Arial" w:hAnsi="Arial" w:cs="Arial"/>
        </w:rPr>
        <w:t>Preu final (sense IVA)</w:t>
      </w:r>
    </w:p>
    <w:p w14:paraId="08C6A036" w14:textId="77777777" w:rsidR="00E17E48" w:rsidRPr="008F3C8B" w:rsidRDefault="00E17E48" w:rsidP="00E17E48">
      <w:pPr>
        <w:numPr>
          <w:ilvl w:val="0"/>
          <w:numId w:val="1"/>
        </w:numPr>
        <w:ind w:left="567" w:right="4054" w:hanging="283"/>
        <w:contextualSpacing/>
        <w:jc w:val="both"/>
        <w:rPr>
          <w:rFonts w:ascii="Arial" w:hAnsi="Arial" w:cs="Arial"/>
        </w:rPr>
      </w:pPr>
      <w:r w:rsidRPr="008F3C8B">
        <w:rPr>
          <w:rFonts w:ascii="Arial" w:hAnsi="Arial" w:cs="Arial"/>
        </w:rPr>
        <w:t>Tipus d’IVA</w:t>
      </w:r>
    </w:p>
    <w:p w14:paraId="46FCFBCD" w14:textId="77777777" w:rsidR="00E17E48" w:rsidRDefault="00E17E48" w:rsidP="00E17E48">
      <w:pPr>
        <w:numPr>
          <w:ilvl w:val="0"/>
          <w:numId w:val="1"/>
        </w:numPr>
        <w:ind w:left="567" w:right="3259" w:hanging="283"/>
        <w:contextualSpacing/>
        <w:jc w:val="both"/>
        <w:rPr>
          <w:rFonts w:ascii="Arial" w:hAnsi="Arial" w:cs="Arial"/>
        </w:rPr>
      </w:pPr>
      <w:r w:rsidRPr="008F3C8B">
        <w:rPr>
          <w:rFonts w:ascii="Arial" w:hAnsi="Arial" w:cs="Arial"/>
        </w:rPr>
        <w:t xml:space="preserve">Enllaç web imatge i </w:t>
      </w:r>
      <w:r>
        <w:rPr>
          <w:rFonts w:ascii="Arial" w:hAnsi="Arial" w:cs="Arial"/>
        </w:rPr>
        <w:t xml:space="preserve">característiques </w:t>
      </w:r>
      <w:r w:rsidRPr="008F3C8B">
        <w:rPr>
          <w:rFonts w:ascii="Arial" w:hAnsi="Arial" w:cs="Arial"/>
        </w:rPr>
        <w:t>producte</w:t>
      </w:r>
    </w:p>
    <w:p w14:paraId="01BA4BEA" w14:textId="3D4F0F96" w:rsidR="00693F8B" w:rsidRPr="00693F8B" w:rsidRDefault="00693F8B" w:rsidP="00693F8B">
      <w:pPr>
        <w:numPr>
          <w:ilvl w:val="0"/>
          <w:numId w:val="1"/>
        </w:numPr>
        <w:ind w:left="567" w:right="3259" w:hanging="283"/>
        <w:contextualSpacing/>
        <w:jc w:val="both"/>
        <w:rPr>
          <w:rFonts w:ascii="Arial" w:hAnsi="Arial" w:cs="Arial"/>
        </w:rPr>
      </w:pPr>
      <w:r>
        <w:rPr>
          <w:rFonts w:ascii="Arial" w:hAnsi="Arial" w:cs="Arial"/>
        </w:rPr>
        <w:t>Comentaris</w:t>
      </w:r>
    </w:p>
    <w:p w14:paraId="7254CC8C" w14:textId="77777777" w:rsidR="00E17E48" w:rsidRPr="00183CDB" w:rsidRDefault="00E17E48" w:rsidP="00E17E48">
      <w:pPr>
        <w:jc w:val="both"/>
        <w:rPr>
          <w:rFonts w:ascii="Arial" w:hAnsi="Arial" w:cs="Arial"/>
        </w:rPr>
      </w:pPr>
    </w:p>
    <w:p w14:paraId="3A381856" w14:textId="77777777" w:rsidR="00E17E48" w:rsidRPr="00183CDB" w:rsidRDefault="00E17E48" w:rsidP="00E17E48">
      <w:pPr>
        <w:jc w:val="both"/>
        <w:rPr>
          <w:rFonts w:ascii="Arial" w:hAnsi="Arial" w:cs="Arial"/>
          <w:lang w:val="ca"/>
        </w:rPr>
      </w:pPr>
      <w:r w:rsidRPr="00183CDB">
        <w:rPr>
          <w:rFonts w:ascii="Arial" w:hAnsi="Arial" w:cs="Arial"/>
          <w:lang w:val="ca"/>
        </w:rPr>
        <w:t>Els catàlegs de les empreses s’han de presentar obligatòriament en format .xlsx.</w:t>
      </w:r>
    </w:p>
    <w:p w14:paraId="150A704A" w14:textId="77777777" w:rsidR="00E17E48" w:rsidRPr="00183CDB" w:rsidRDefault="00E17E48" w:rsidP="00E17E48">
      <w:pPr>
        <w:jc w:val="both"/>
        <w:rPr>
          <w:rFonts w:ascii="Arial" w:hAnsi="Arial" w:cs="Arial"/>
          <w:lang w:val="ca"/>
        </w:rPr>
      </w:pPr>
    </w:p>
    <w:p w14:paraId="4C828094" w14:textId="77777777" w:rsidR="00E17E48" w:rsidRPr="00183CDB" w:rsidRDefault="00E17E48" w:rsidP="00E17E48">
      <w:pPr>
        <w:jc w:val="both"/>
        <w:rPr>
          <w:rFonts w:ascii="Arial" w:hAnsi="Arial" w:cs="Arial"/>
          <w:lang w:val="ca"/>
        </w:rPr>
      </w:pPr>
      <w:r w:rsidRPr="00183CDB">
        <w:rPr>
          <w:rFonts w:ascii="Arial" w:hAnsi="Arial" w:cs="Arial"/>
          <w:lang w:val="ca"/>
        </w:rPr>
        <w:t>Els proveïdors només oferiran productes de les categories a les quals hagin estat admesos i és la seva responsabilitat que la informació que conté el seu catàleg electrònic sigui verídica, correcta en forma i que estigui actualitzada.</w:t>
      </w:r>
    </w:p>
    <w:p w14:paraId="458B825C" w14:textId="77777777" w:rsidR="00E17E48" w:rsidRPr="00183CDB" w:rsidRDefault="00E17E48" w:rsidP="00E17E48">
      <w:pPr>
        <w:jc w:val="both"/>
        <w:rPr>
          <w:rFonts w:ascii="Arial" w:hAnsi="Arial" w:cs="Arial"/>
          <w:lang w:val="ca"/>
        </w:rPr>
      </w:pPr>
    </w:p>
    <w:p w14:paraId="1414E009" w14:textId="77777777" w:rsidR="00E17E48" w:rsidRPr="00183CDB" w:rsidRDefault="00E17E48" w:rsidP="00E17E48">
      <w:pPr>
        <w:jc w:val="both"/>
        <w:rPr>
          <w:rFonts w:ascii="Arial" w:hAnsi="Arial" w:cs="Arial"/>
          <w:b/>
          <w:bCs/>
          <w:lang w:val="ca"/>
        </w:rPr>
      </w:pPr>
      <w:r w:rsidRPr="00183CDB">
        <w:rPr>
          <w:rFonts w:ascii="Arial" w:hAnsi="Arial" w:cs="Arial"/>
          <w:b/>
          <w:bCs/>
          <w:lang w:val="ca"/>
        </w:rPr>
        <w:t>Actualització d’ofertes en el catàleg electrònic</w:t>
      </w:r>
    </w:p>
    <w:p w14:paraId="7FE38039" w14:textId="77777777" w:rsidR="00E17E48" w:rsidRPr="00183CDB" w:rsidRDefault="00E17E48" w:rsidP="00E17E48">
      <w:pPr>
        <w:jc w:val="both"/>
        <w:rPr>
          <w:rFonts w:ascii="Arial" w:hAnsi="Arial" w:cs="Arial"/>
          <w:b/>
          <w:bCs/>
          <w:lang w:val="ca"/>
        </w:rPr>
      </w:pPr>
    </w:p>
    <w:p w14:paraId="55BB0B6F" w14:textId="77777777" w:rsidR="00E17E48" w:rsidRPr="00183CDB" w:rsidRDefault="00E17E48" w:rsidP="00E17E48">
      <w:pPr>
        <w:jc w:val="both"/>
        <w:rPr>
          <w:rFonts w:ascii="Arial" w:hAnsi="Arial" w:cs="Arial"/>
        </w:rPr>
      </w:pPr>
      <w:r w:rsidRPr="00183CDB">
        <w:rPr>
          <w:rFonts w:ascii="Arial" w:hAnsi="Arial" w:cs="Arial"/>
        </w:rPr>
        <w:t>Els licitadors tenen la possibilitat de comprovar que l’oferta segueix sent vàlida i, en cas contrari, poden esmenar els possibles canvis o errors materials. En tot moment l’òrgan de contractació entendrà que els preus de catàleg són ofertes vàlides en el moment de la comanda i aquest preu es mantindrà constant fins la facturació.</w:t>
      </w:r>
    </w:p>
    <w:p w14:paraId="03B27D91" w14:textId="77777777" w:rsidR="00E17E48" w:rsidRPr="00183CDB" w:rsidRDefault="00E17E48" w:rsidP="00E17E48">
      <w:pPr>
        <w:jc w:val="both"/>
        <w:rPr>
          <w:rFonts w:ascii="Arial" w:hAnsi="Arial" w:cs="Arial"/>
        </w:rPr>
      </w:pPr>
    </w:p>
    <w:p w14:paraId="7187C7CA" w14:textId="77777777" w:rsidR="00E17E48" w:rsidRDefault="00E17E48" w:rsidP="00E17E48">
      <w:pPr>
        <w:jc w:val="both"/>
        <w:rPr>
          <w:rFonts w:ascii="Arial" w:hAnsi="Arial" w:cs="Arial"/>
        </w:rPr>
      </w:pPr>
      <w:r w:rsidRPr="00183CDB">
        <w:rPr>
          <w:rFonts w:ascii="Arial" w:hAnsi="Arial" w:cs="Arial"/>
        </w:rPr>
        <w:t>Això aplica als preus de catàleg</w:t>
      </w:r>
      <w:r>
        <w:rPr>
          <w:rFonts w:ascii="Arial" w:hAnsi="Arial" w:cs="Arial"/>
        </w:rPr>
        <w:t>,</w:t>
      </w:r>
      <w:r w:rsidRPr="00183CDB">
        <w:rPr>
          <w:rFonts w:ascii="Arial" w:hAnsi="Arial" w:cs="Arial"/>
        </w:rPr>
        <w:t xml:space="preserve"> sempre i quan no s’hagi fet un contracte específic</w:t>
      </w:r>
      <w:r>
        <w:rPr>
          <w:rFonts w:ascii="Arial" w:hAnsi="Arial" w:cs="Arial"/>
        </w:rPr>
        <w:t>.</w:t>
      </w:r>
      <w:bookmarkEnd w:id="1"/>
    </w:p>
    <w:p w14:paraId="28DDB8F6" w14:textId="77777777" w:rsidR="00644BB8" w:rsidRDefault="00644BB8"/>
    <w:sectPr w:rsidR="00644BB8" w:rsidSect="00E17E48">
      <w:headerReference w:type="default" r:id="rId8"/>
      <w:pgSz w:w="11906" w:h="16838"/>
      <w:pgMar w:top="1418" w:right="170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C056" w14:textId="77777777" w:rsidR="00E17E48" w:rsidRDefault="00E17E48" w:rsidP="00E17E48">
      <w:pPr>
        <w:spacing w:line="240" w:lineRule="auto"/>
      </w:pPr>
      <w:r>
        <w:separator/>
      </w:r>
    </w:p>
  </w:endnote>
  <w:endnote w:type="continuationSeparator" w:id="0">
    <w:p w14:paraId="4640BCDB" w14:textId="77777777" w:rsidR="00E17E48" w:rsidRDefault="00E17E48" w:rsidP="00E17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B08C" w14:textId="77777777" w:rsidR="00E17E48" w:rsidRDefault="00E17E48" w:rsidP="00E17E48">
      <w:pPr>
        <w:spacing w:line="240" w:lineRule="auto"/>
      </w:pPr>
      <w:r>
        <w:separator/>
      </w:r>
    </w:p>
  </w:footnote>
  <w:footnote w:type="continuationSeparator" w:id="0">
    <w:p w14:paraId="4F3C079D" w14:textId="77777777" w:rsidR="00E17E48" w:rsidRDefault="00E17E48" w:rsidP="00E17E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5A96" w14:textId="2BCF1849" w:rsidR="00E17E48" w:rsidRDefault="00E17E48">
    <w:pPr>
      <w:pStyle w:val="Encabezado"/>
    </w:pPr>
    <w:r>
      <w:rPr>
        <w:noProof/>
        <w:lang w:eastAsia="ca-ES"/>
      </w:rPr>
      <w:drawing>
        <wp:inline distT="0" distB="0" distL="0" distR="0" wp14:anchorId="42E3642A" wp14:editId="5617050F">
          <wp:extent cx="2371060" cy="328551"/>
          <wp:effectExtent l="0" t="0" r="0" b="0"/>
          <wp:docPr id="446940313" name="Imagen 446940313" descr="Logotipo, nombre de la empresa&#10;&#10;El contenido generado por IA puede ser incorrecto.">
            <a:extLst xmlns:a="http://schemas.openxmlformats.org/drawingml/2006/main">
              <a:ext uri="{FF2B5EF4-FFF2-40B4-BE49-F238E27FC236}">
                <a16:creationId xmlns:a16="http://schemas.microsoft.com/office/drawing/2014/main" id="{A93BB34F-7174-6D5C-E68F-0950F8C20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69141" name="Imagen 599969141" descr="Logotipo, nombre de la empresa&#10;&#10;El contenido generado por IA puede ser incorrecto.">
                    <a:extLst>
                      <a:ext uri="{FF2B5EF4-FFF2-40B4-BE49-F238E27FC236}">
                        <a16:creationId xmlns:a16="http://schemas.microsoft.com/office/drawing/2014/main" id="{A93BB34F-7174-6D5C-E68F-0950F8C2005D}"/>
                      </a:ext>
                    </a:extLst>
                  </pic:cNvPr>
                  <pic:cNvPicPr>
                    <a:picLocks noChangeAspect="1"/>
                  </pic:cNvPicPr>
                </pic:nvPicPr>
                <pic:blipFill>
                  <a:blip r:embed="rId1"/>
                  <a:stretch>
                    <a:fillRect/>
                  </a:stretch>
                </pic:blipFill>
                <pic:spPr>
                  <a:xfrm>
                    <a:off x="0" y="0"/>
                    <a:ext cx="2453857" cy="3400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A66"/>
    <w:multiLevelType w:val="hybridMultilevel"/>
    <w:tmpl w:val="FFFFFFFF"/>
    <w:lvl w:ilvl="0" w:tplc="65DE8BFE">
      <w:start w:val="1"/>
      <w:numFmt w:val="decimal"/>
      <w:lvlText w:val="%1."/>
      <w:lvlJc w:val="left"/>
      <w:pPr>
        <w:ind w:left="720" w:hanging="360"/>
      </w:pPr>
    </w:lvl>
    <w:lvl w:ilvl="1" w:tplc="3404E0A0">
      <w:start w:val="1"/>
      <w:numFmt w:val="lowerLetter"/>
      <w:lvlText w:val="%2."/>
      <w:lvlJc w:val="left"/>
      <w:pPr>
        <w:ind w:left="1440" w:hanging="360"/>
      </w:pPr>
    </w:lvl>
    <w:lvl w:ilvl="2" w:tplc="10FA8C3A">
      <w:start w:val="1"/>
      <w:numFmt w:val="lowerRoman"/>
      <w:lvlText w:val="%3."/>
      <w:lvlJc w:val="right"/>
      <w:pPr>
        <w:ind w:left="2160" w:hanging="180"/>
      </w:pPr>
    </w:lvl>
    <w:lvl w:ilvl="3" w:tplc="225A4618">
      <w:start w:val="1"/>
      <w:numFmt w:val="decimal"/>
      <w:lvlText w:val="%4."/>
      <w:lvlJc w:val="left"/>
      <w:pPr>
        <w:ind w:left="2880" w:hanging="360"/>
      </w:pPr>
    </w:lvl>
    <w:lvl w:ilvl="4" w:tplc="6E86A420">
      <w:start w:val="1"/>
      <w:numFmt w:val="lowerLetter"/>
      <w:lvlText w:val="%5."/>
      <w:lvlJc w:val="left"/>
      <w:pPr>
        <w:ind w:left="3600" w:hanging="360"/>
      </w:pPr>
    </w:lvl>
    <w:lvl w:ilvl="5" w:tplc="069010D2">
      <w:start w:val="1"/>
      <w:numFmt w:val="lowerRoman"/>
      <w:lvlText w:val="%6."/>
      <w:lvlJc w:val="right"/>
      <w:pPr>
        <w:ind w:left="4320" w:hanging="180"/>
      </w:pPr>
    </w:lvl>
    <w:lvl w:ilvl="6" w:tplc="89029D54">
      <w:start w:val="1"/>
      <w:numFmt w:val="decimal"/>
      <w:lvlText w:val="%7."/>
      <w:lvlJc w:val="left"/>
      <w:pPr>
        <w:ind w:left="5040" w:hanging="360"/>
      </w:pPr>
    </w:lvl>
    <w:lvl w:ilvl="7" w:tplc="4ABC66FE">
      <w:start w:val="1"/>
      <w:numFmt w:val="lowerLetter"/>
      <w:lvlText w:val="%8."/>
      <w:lvlJc w:val="left"/>
      <w:pPr>
        <w:ind w:left="5760" w:hanging="360"/>
      </w:pPr>
    </w:lvl>
    <w:lvl w:ilvl="8" w:tplc="AF92086E">
      <w:start w:val="1"/>
      <w:numFmt w:val="lowerRoman"/>
      <w:lvlText w:val="%9."/>
      <w:lvlJc w:val="right"/>
      <w:pPr>
        <w:ind w:left="6480" w:hanging="180"/>
      </w:pPr>
    </w:lvl>
  </w:abstractNum>
  <w:num w:numId="1" w16cid:durableId="204166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60"/>
    <w:rsid w:val="000C6960"/>
    <w:rsid w:val="00174408"/>
    <w:rsid w:val="002E19C4"/>
    <w:rsid w:val="00317B5E"/>
    <w:rsid w:val="003D5EFC"/>
    <w:rsid w:val="00644BB8"/>
    <w:rsid w:val="00693F8B"/>
    <w:rsid w:val="006B0CEF"/>
    <w:rsid w:val="007E1C85"/>
    <w:rsid w:val="007F6D9C"/>
    <w:rsid w:val="009D1769"/>
    <w:rsid w:val="00AB6129"/>
    <w:rsid w:val="00E17E48"/>
    <w:rsid w:val="00F32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CD84"/>
  <w15:chartTrackingRefBased/>
  <w15:docId w15:val="{20EC38DE-3BC5-4C7F-89D8-4B56D701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48"/>
    <w:pPr>
      <w:jc w:val="left"/>
    </w:pPr>
    <w:rPr>
      <w:lang w:val="ca-ES"/>
    </w:rPr>
  </w:style>
  <w:style w:type="paragraph" w:styleId="Ttulo1">
    <w:name w:val="heading 1"/>
    <w:aliases w:val="TÌTOL I"/>
    <w:basedOn w:val="Normal"/>
    <w:next w:val="Normal"/>
    <w:link w:val="Ttulo1Car"/>
    <w:uiPriority w:val="9"/>
    <w:qFormat/>
    <w:rsid w:val="000C6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C6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C696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C696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696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69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69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69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69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ÌTOL I Car"/>
    <w:basedOn w:val="Fuentedeprrafopredeter"/>
    <w:link w:val="Ttulo1"/>
    <w:uiPriority w:val="9"/>
    <w:rsid w:val="000C6960"/>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0C6960"/>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0C6960"/>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0C6960"/>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0C6960"/>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0C696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0C696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0C696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0C696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0C69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696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0C696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696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C69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C6960"/>
    <w:rPr>
      <w:i/>
      <w:iCs/>
      <w:color w:val="404040" w:themeColor="text1" w:themeTint="BF"/>
      <w:lang w:val="ca-ES"/>
    </w:rPr>
  </w:style>
  <w:style w:type="paragraph" w:styleId="Prrafodelista">
    <w:name w:val="List Paragraph"/>
    <w:basedOn w:val="Normal"/>
    <w:uiPriority w:val="34"/>
    <w:qFormat/>
    <w:rsid w:val="000C6960"/>
    <w:pPr>
      <w:ind w:left="720"/>
      <w:contextualSpacing/>
    </w:pPr>
  </w:style>
  <w:style w:type="character" w:styleId="nfasisintenso">
    <w:name w:val="Intense Emphasis"/>
    <w:basedOn w:val="Fuentedeprrafopredeter"/>
    <w:uiPriority w:val="21"/>
    <w:qFormat/>
    <w:rsid w:val="000C6960"/>
    <w:rPr>
      <w:i/>
      <w:iCs/>
      <w:color w:val="2F5496" w:themeColor="accent1" w:themeShade="BF"/>
    </w:rPr>
  </w:style>
  <w:style w:type="paragraph" w:styleId="Citadestacada">
    <w:name w:val="Intense Quote"/>
    <w:basedOn w:val="Normal"/>
    <w:next w:val="Normal"/>
    <w:link w:val="CitadestacadaCar"/>
    <w:uiPriority w:val="30"/>
    <w:qFormat/>
    <w:rsid w:val="000C6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6960"/>
    <w:rPr>
      <w:i/>
      <w:iCs/>
      <w:color w:val="2F5496" w:themeColor="accent1" w:themeShade="BF"/>
      <w:lang w:val="ca-ES"/>
    </w:rPr>
  </w:style>
  <w:style w:type="character" w:styleId="Referenciaintensa">
    <w:name w:val="Intense Reference"/>
    <w:basedOn w:val="Fuentedeprrafopredeter"/>
    <w:uiPriority w:val="32"/>
    <w:qFormat/>
    <w:rsid w:val="000C6960"/>
    <w:rPr>
      <w:b/>
      <w:bCs/>
      <w:smallCaps/>
      <w:color w:val="2F5496" w:themeColor="accent1" w:themeShade="BF"/>
      <w:spacing w:val="5"/>
    </w:rPr>
  </w:style>
  <w:style w:type="paragraph" w:styleId="Encabezado">
    <w:name w:val="header"/>
    <w:basedOn w:val="Normal"/>
    <w:link w:val="EncabezadoCar"/>
    <w:uiPriority w:val="99"/>
    <w:unhideWhenUsed/>
    <w:rsid w:val="00E17E48"/>
    <w:pPr>
      <w:tabs>
        <w:tab w:val="center" w:pos="4252"/>
        <w:tab w:val="right" w:pos="8504"/>
      </w:tabs>
    </w:pPr>
  </w:style>
  <w:style w:type="character" w:customStyle="1" w:styleId="EncabezadoCar">
    <w:name w:val="Encabezado Car"/>
    <w:basedOn w:val="Fuentedeprrafopredeter"/>
    <w:link w:val="Encabezado"/>
    <w:uiPriority w:val="99"/>
    <w:rsid w:val="00E17E48"/>
    <w:rPr>
      <w:lang w:val="ca-ES"/>
    </w:rPr>
  </w:style>
  <w:style w:type="paragraph" w:styleId="Piedepgina">
    <w:name w:val="footer"/>
    <w:basedOn w:val="Normal"/>
    <w:link w:val="PiedepginaCar"/>
    <w:uiPriority w:val="99"/>
    <w:unhideWhenUsed/>
    <w:rsid w:val="00E17E48"/>
    <w:pPr>
      <w:tabs>
        <w:tab w:val="center" w:pos="4252"/>
        <w:tab w:val="right" w:pos="8504"/>
      </w:tabs>
    </w:pPr>
  </w:style>
  <w:style w:type="character" w:customStyle="1" w:styleId="PiedepginaCar">
    <w:name w:val="Pie de página Car"/>
    <w:basedOn w:val="Fuentedeprrafopredeter"/>
    <w:link w:val="Piedepgina"/>
    <w:uiPriority w:val="99"/>
    <w:rsid w:val="00E17E48"/>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es.mancoplan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3258</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Camprubí - Mancoplana</dc:creator>
  <cp:keywords/>
  <dc:description/>
  <cp:lastModifiedBy>Berta Camprubí - Mancoplana</cp:lastModifiedBy>
  <cp:revision>4</cp:revision>
  <dcterms:created xsi:type="dcterms:W3CDTF">2026-03-04T11:21:00Z</dcterms:created>
  <dcterms:modified xsi:type="dcterms:W3CDTF">2026-03-11T06:42:00Z</dcterms:modified>
</cp:coreProperties>
</file>