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subministrament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A</w:t>
      </w:r>
      <w:r>
        <w:rPr>
          <w:rFonts w:ascii="Arial" w:hAnsi="Arial"/>
          <w:b/>
          <w:bCs/>
          <w:sz w:val="22"/>
          <w:szCs w:val="22"/>
          <w:u w:val="single"/>
        </w:rPr>
        <w:t>.- Oferta econòmica del llistat de l’Annex 1</w:t>
      </w:r>
      <w:r>
        <w:rPr>
          <w:rFonts w:ascii="Arial" w:hAnsi="Arial"/>
          <w:sz w:val="22"/>
          <w:szCs w:val="22"/>
          <w:u w:val="single"/>
        </w:rPr>
        <w:t>.:</w:t>
      </w:r>
    </w:p>
    <w:p>
      <w:pPr>
        <w:pStyle w:val="TOC1"/>
        <w:widowControl/>
        <w:numPr>
          <w:ilvl w:val="0"/>
          <w:numId w:val="0"/>
        </w:numPr>
        <w:suppressLineNumbers/>
        <w:pBdr/>
        <w:bidi w:val="0"/>
        <w:spacing w:lineRule="auto" w:line="276" w:before="0" w:after="0"/>
        <w:ind w:hanging="0" w:left="0" w:right="0"/>
        <w:contextualSpacing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Cs w:val="false"/>
          <w:szCs w:val="22"/>
          <w:lang w:val="ca-ES"/>
        </w:rPr>
        <w:t xml:space="preserve">Es proposa una baixa lineal de .....% (màxim dos decimals) sobre els productes de l’Annex 1 del PPT. </w:t>
      </w:r>
    </w:p>
    <w:p>
      <w:pPr>
        <w:pStyle w:val="TOC1"/>
        <w:widowControl/>
        <w:numPr>
          <w:ilvl w:val="0"/>
          <w:numId w:val="0"/>
        </w:numPr>
        <w:suppressLineNumbers/>
        <w:pBdr/>
        <w:bidi w:val="0"/>
        <w:spacing w:lineRule="auto" w:line="276" w:before="0" w:after="0"/>
        <w:ind w:hanging="0" w:left="0" w:right="0"/>
        <w:contextualSpacing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Cs w:val="false"/>
          <w:szCs w:val="22"/>
          <w:lang w:val="ca-ES"/>
        </w:rPr>
      </w:r>
    </w:p>
    <w:p>
      <w:pPr>
        <w:pStyle w:val="TOC1"/>
        <w:widowControl/>
        <w:numPr>
          <w:ilvl w:val="0"/>
          <w:numId w:val="0"/>
        </w:numPr>
        <w:suppressLineNumbers/>
        <w:pBdr/>
        <w:bidi w:val="0"/>
        <w:spacing w:lineRule="auto" w:line="276" w:before="0" w:after="0"/>
        <w:ind w:hanging="0" w:left="0" w:right="0"/>
        <w:contextualSpacing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Cs w:val="false"/>
          <w:szCs w:val="22"/>
          <w:lang w:val="ca-ES"/>
        </w:rPr>
        <w:t>Caldrà incloure l’oferta en xifres i lletres. En cas de discrepància es considerarà l’import en lletres.</w:t>
      </w:r>
    </w:p>
    <w:p>
      <w:pPr>
        <w:pStyle w:val="BodyText"/>
        <w:pBdr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spacing w:before="171" w:after="171"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b/>
          <w:bCs/>
          <w:sz w:val="22"/>
          <w:szCs w:val="22"/>
          <w:u w:val="single"/>
        </w:rPr>
        <w:t>B.- Descompte sobre el material no relacionat al llistat</w:t>
      </w:r>
      <w:r>
        <w:rPr>
          <w:rFonts w:ascii="Arial" w:hAnsi="Arial"/>
          <w:sz w:val="22"/>
          <w:szCs w:val="22"/>
          <w:u w:val="single"/>
        </w:rPr>
        <w:t>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Es proposa una baixa lineal de .....% (màxim dos decimals) sobre els productes dels annexos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 xml:space="preserve">del PPT. 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TOC1"/>
        <w:widowControl/>
        <w:numPr>
          <w:ilvl w:val="0"/>
          <w:numId w:val="0"/>
        </w:numPr>
        <w:suppressLineNumbers/>
        <w:pBdr/>
        <w:bidi w:val="0"/>
        <w:spacing w:lineRule="auto" w:line="276" w:before="0" w:after="0"/>
        <w:ind w:hanging="0" w:left="0" w:right="0"/>
        <w:contextualSpacing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Caldrà incloure l’oferta en xifres i lletres. En cas de discrepància es considerarà l’import en lletres.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BodyText"/>
        <w:pBdr/>
        <w:spacing w:before="171" w:after="171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C.- Reducció en el termini de lliurament del material</w:t>
      </w:r>
      <w:r>
        <w:rPr>
          <w:rFonts w:ascii="Arial" w:hAnsi="Arial"/>
          <w:sz w:val="22"/>
          <w:szCs w:val="22"/>
          <w:u w:val="single"/>
        </w:rPr>
        <w:t>.</w:t>
      </w:r>
    </w:p>
    <w:p>
      <w:pPr>
        <w:pStyle w:val="TOC1"/>
        <w:numPr>
          <w:ilvl w:val="0"/>
          <w:numId w:val="0"/>
        </w:numPr>
        <w:suppressLineNumbers/>
        <w:pBdr/>
        <w:bidi w:val="0"/>
        <w:spacing w:lineRule="auto" w:line="276"/>
        <w:ind w:hanging="624" w:left="624"/>
        <w:jc w:val="both"/>
        <w:rPr/>
      </w:pPr>
      <w:r>
        <w:rPr>
          <w:rStyle w:val="Fuentedeprrafopredeter1"/>
          <w:rFonts w:cs="Arial" w:ascii="Arial" w:hAnsi="Arial"/>
          <w:bCs w:val="false"/>
          <w:szCs w:val="22"/>
          <w:lang w:val="ca-ES"/>
        </w:rPr>
        <w:t>Els terminis de lliurament dels béns objecte del contracte s’estableixen en:</w:t>
      </w:r>
    </w:p>
    <w:p>
      <w:pPr>
        <w:pStyle w:val="TOC1"/>
        <w:numPr>
          <w:ilvl w:val="0"/>
          <w:numId w:val="0"/>
        </w:numPr>
        <w:suppressLineNumbers/>
        <w:pBdr/>
        <w:bidi w:val="0"/>
        <w:spacing w:lineRule="auto" w:line="276"/>
        <w:ind w:hanging="624" w:left="624"/>
        <w:jc w:val="both"/>
        <w:rPr>
          <w:rStyle w:val="Fuentedeprrafopredeter1"/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/>
      </w:r>
    </w:p>
    <w:p>
      <w:pPr>
        <w:pStyle w:val="TOC1"/>
        <w:widowControl/>
        <w:numPr>
          <w:ilvl w:val="0"/>
          <w:numId w:val="0"/>
        </w:numPr>
        <w:suppressLineNumbers/>
        <w:pBdr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uentedeprrafopredeter1"/>
          <w:rFonts w:cs="Arial" w:ascii="Arial" w:hAnsi="Arial"/>
          <w:bCs w:val="false"/>
          <w:szCs w:val="22"/>
          <w:lang w:val="ca-ES"/>
        </w:rPr>
        <w:t xml:space="preserve">a) </w:t>
      </w:r>
      <w:r>
        <w:rPr>
          <w:rStyle w:val="Fuentedeprrafopredeter1"/>
          <w:rFonts w:cs="Arial" w:ascii="Arial" w:hAnsi="Arial"/>
          <w:bCs w:val="false"/>
          <w:szCs w:val="22"/>
          <w:u w:val="single"/>
          <w:lang w:val="ca-ES"/>
        </w:rPr>
        <w:t>Articles en estoc o estàndard</w:t>
      </w:r>
      <w:r>
        <w:rPr>
          <w:rStyle w:val="Fuentedeprrafopredeter1"/>
          <w:rFonts w:cs="Arial" w:ascii="Arial" w:hAnsi="Arial"/>
          <w:bCs w:val="false"/>
          <w:szCs w:val="22"/>
          <w:lang w:val="ca-ES"/>
        </w:rPr>
        <w:t>: són els articles inclosos en el llistat que consta a l’Annex 1, que l’adjudicatari haurà de mantenir en estoc i que s’hauran de lliurar en un termini màxim de 5 dies des de la recepció de la comanda escrita per part de l’Ajuntament.</w:t>
      </w:r>
    </w:p>
    <w:p>
      <w:pPr>
        <w:pStyle w:val="TOC1"/>
        <w:widowControl/>
        <w:numPr>
          <w:ilvl w:val="0"/>
          <w:numId w:val="0"/>
        </w:numPr>
        <w:suppressLineNumbers/>
        <w:pBdr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uentedeprrafopredeter1"/>
          <w:rFonts w:cs="Arial" w:ascii="Arial" w:hAnsi="Arial"/>
          <w:bCs w:val="false"/>
          <w:szCs w:val="22"/>
          <w:lang w:val="ca-ES"/>
        </w:rPr>
        <w:t xml:space="preserve">b) </w:t>
      </w:r>
      <w:r>
        <w:rPr>
          <w:rStyle w:val="Fuentedeprrafopredeter1"/>
          <w:rFonts w:cs="Arial" w:ascii="Arial" w:hAnsi="Arial"/>
          <w:bCs w:val="false"/>
          <w:szCs w:val="22"/>
          <w:u w:val="single"/>
          <w:lang w:val="ca-ES"/>
        </w:rPr>
        <w:t>Articles no estàndard</w:t>
      </w:r>
      <w:r>
        <w:rPr>
          <w:rStyle w:val="Fuentedeprrafopredeter1"/>
          <w:rFonts w:cs="Arial" w:ascii="Arial" w:hAnsi="Arial"/>
          <w:bCs w:val="false"/>
          <w:szCs w:val="22"/>
          <w:lang w:val="ca-ES"/>
        </w:rPr>
        <w:t>: són aquells articles no inclosos a l’Annex 1 però que formen part del llistat de preus comercials de l’adjudicatari. Aquests articles s’hauran de lliurar en un termini màxim de 5 dies des de la recepció de la comanda escrita.</w:t>
      </w:r>
    </w:p>
    <w:p>
      <w:pPr>
        <w:pStyle w:val="TOC1"/>
        <w:numPr>
          <w:ilvl w:val="0"/>
          <w:numId w:val="0"/>
        </w:numPr>
        <w:suppressLineNumbers/>
        <w:pBdr/>
        <w:bidi w:val="0"/>
        <w:spacing w:lineRule="auto" w:line="276"/>
        <w:ind w:hanging="624" w:left="624"/>
        <w:jc w:val="both"/>
        <w:rPr>
          <w:rStyle w:val="Fuentedeprrafopredeter1"/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/>
      </w:r>
    </w:p>
    <w:p>
      <w:pPr>
        <w:pStyle w:val="TOC1"/>
        <w:numPr>
          <w:ilvl w:val="0"/>
          <w:numId w:val="0"/>
        </w:numPr>
        <w:suppressLineNumbers/>
        <w:pBdr/>
        <w:bidi w:val="0"/>
        <w:spacing w:lineRule="auto" w:line="276"/>
        <w:ind w:hanging="624" w:left="624"/>
        <w:jc w:val="both"/>
        <w:rPr/>
      </w:pPr>
      <w:r>
        <w:rPr>
          <w:rStyle w:val="Fuentedeprrafopredeter1"/>
          <w:rFonts w:cs="Arial" w:ascii="Arial" w:hAnsi="Arial"/>
          <w:bCs w:val="false"/>
          <w:szCs w:val="22"/>
          <w:lang w:val="ca-ES"/>
        </w:rPr>
        <w:t>Es proposa una reducció en el temps d’entrega màxim establert segons el següent barem:</w:t>
      </w:r>
    </w:p>
    <w:p>
      <w:pPr>
        <w:pStyle w:val="TOC1"/>
        <w:numPr>
          <w:ilvl w:val="0"/>
          <w:numId w:val="0"/>
        </w:numPr>
        <w:suppressLineNumbers/>
        <w:pBdr/>
        <w:bidi w:val="0"/>
        <w:spacing w:lineRule="auto" w:line="276"/>
        <w:ind w:hanging="624" w:left="624"/>
        <w:jc w:val="both"/>
        <w:rPr>
          <w:rStyle w:val="Fuentedeprrafopredeter1"/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63"/>
        <w:gridCol w:w="1875"/>
      </w:tblGrid>
      <w:tr>
        <w:trPr/>
        <w:tc>
          <w:tcPr>
            <w:tcW w:w="7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20"/>
              </w:tabs>
              <w:bidi w:val="0"/>
              <w:spacing w:lineRule="auto" w:line="276" w:before="0" w:after="20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FF" w:val="clear"/>
              </w:rPr>
              <w:t>Reducció en el termini de lliurament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20"/>
              </w:tabs>
              <w:bidi w:val="0"/>
              <w:spacing w:lineRule="auto" w:line="276" w:before="0" w:after="200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FFFFFF" w:val="clear"/>
              </w:rPr>
              <w:t>Marcar</w:t>
            </w:r>
          </w:p>
        </w:tc>
      </w:tr>
      <w:tr>
        <w:trPr/>
        <w:tc>
          <w:tcPr>
            <w:tcW w:w="7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20"/>
              </w:tabs>
              <w:bidi w:val="0"/>
              <w:spacing w:lineRule="auto" w:line="276" w:before="0" w:after="200"/>
              <w:rPr>
                <w:rFonts w:ascii="Arial" w:hAnsi="Arial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 xml:space="preserve">Compromís de lliurament del material en un termini màxim de </w:t>
            </w: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48</w:t>
            </w: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 xml:space="preserve"> hores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widowControl w:val="false"/>
              <w:tabs>
                <w:tab w:val="clear" w:pos="720"/>
              </w:tabs>
              <w:bidi w:val="0"/>
              <w:spacing w:lineRule="auto" w:line="276" w:before="0" w:after="200"/>
              <w:jc w:val="center"/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</w:r>
          </w:p>
        </w:tc>
      </w:tr>
      <w:tr>
        <w:trPr/>
        <w:tc>
          <w:tcPr>
            <w:tcW w:w="7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lineRule="auto" w:line="276" w:before="0" w:after="200"/>
              <w:rPr>
                <w:rFonts w:ascii="Arial" w:hAnsi="Arial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 xml:space="preserve">Compromís de lliurament del material en un termini màxim de </w:t>
            </w: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3 dies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lineRule="auto" w:line="276" w:before="0" w:after="200"/>
              <w:jc w:val="center"/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</w:r>
          </w:p>
        </w:tc>
      </w:tr>
      <w:tr>
        <w:trPr/>
        <w:tc>
          <w:tcPr>
            <w:tcW w:w="7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lineRule="auto" w:line="276" w:before="0" w:after="200"/>
              <w:rPr>
                <w:rFonts w:ascii="Arial" w:hAnsi="Arial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 xml:space="preserve">Compromís de lliurament del material en un termini </w:t>
            </w: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 xml:space="preserve">igual o </w:t>
            </w:r>
            <w:r>
              <w:rPr>
                <w:rFonts w:ascii="Arial" w:hAnsi="Arial"/>
                <w:color w:val="000000"/>
                <w:sz w:val="22"/>
                <w:szCs w:val="22"/>
                <w:u w:val="none"/>
                <w:shd w:fill="FFFFFF" w:val="clear"/>
              </w:rPr>
              <w:t xml:space="preserve">superior </w:t>
            </w: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 xml:space="preserve">a 4 </w:t>
            </w: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  <w:t>dies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user"/>
              <w:widowControl w:val="false"/>
              <w:bidi w:val="0"/>
              <w:spacing w:lineRule="auto" w:line="276" w:before="0" w:after="200"/>
              <w:jc w:val="center"/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FFFFFF" w:val="clear"/>
              </w:rPr>
            </w:r>
          </w:p>
        </w:tc>
      </w:tr>
    </w:tbl>
    <w:p>
      <w:pPr>
        <w:pStyle w:val="Normal"/>
        <w:suppressLineNumbers/>
        <w:pBdr/>
        <w:spacing w:lineRule="auto" w:line="276"/>
        <w:jc w:val="both"/>
        <w:rPr>
          <w:rStyle w:val="Fuentedeprrafopredeter1"/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/>
      </w:r>
    </w:p>
    <w:p>
      <w:pPr>
        <w:pStyle w:val="TOC1"/>
        <w:numPr>
          <w:ilvl w:val="0"/>
          <w:numId w:val="0"/>
        </w:numPr>
        <w:suppressLineNumbers/>
        <w:pBdr/>
        <w:bidi w:val="0"/>
        <w:spacing w:lineRule="auto" w:line="276"/>
        <w:ind w:hanging="624" w:left="624"/>
        <w:jc w:val="both"/>
        <w:rPr>
          <w:rStyle w:val="Fuentedeprrafopredeter1"/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/>
      </w:r>
    </w:p>
    <w:p>
      <w:pPr>
        <w:pStyle w:val="TOC1"/>
        <w:widowControl/>
        <w:numPr>
          <w:ilvl w:val="0"/>
          <w:numId w:val="0"/>
        </w:numPr>
        <w:suppressLineNumbers/>
        <w:pBdr/>
        <w:bidi w:val="0"/>
        <w:spacing w:lineRule="auto" w:line="276" w:before="0" w:after="0"/>
        <w:ind w:hanging="0" w:left="0" w:right="0"/>
        <w:contextualSpacing/>
        <w:jc w:val="both"/>
        <w:rPr>
          <w:rStyle w:val="Fuentedeprrafopredeter1"/>
          <w:rFonts w:eastAsia="Helv" w:cs="Helv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</w:pPr>
      <w:r>
        <w:rPr>
          <w:rFonts w:ascii="Arial" w:hAnsi="Arial"/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eastAsia="Helv" w:cs="Helv"/>
          <w:b w:val="false"/>
          <w:bCs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eastAsia="es-ES"/>
        </w:rPr>
      </w:pPr>
      <w:r>
        <w:rPr>
          <w:sz w:val="20"/>
          <w:szCs w:val="20"/>
          <w:lang w:val="ca-ES"/>
        </w:rPr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Contingutdelataulauser">
    <w:name w:val="Contingut de la taula (user)"/>
    <w:basedOn w:val="Normal"/>
    <w:qFormat/>
    <w:pPr>
      <w:widowControl/>
      <w:suppressAutoHyphens w:val="true"/>
      <w:spacing w:lineRule="auto" w:line="276" w:before="0" w:after="200"/>
      <w:ind w:hanging="0" w:left="0" w:right="0"/>
      <w:jc w:val="left"/>
      <w:textAlignment w:val="auto"/>
    </w:pPr>
    <w:rPr>
      <w:rFonts w:ascii="Arial" w:hAnsi="Arial" w:cs="Calibri"/>
      <w:sz w:val="22"/>
      <w:szCs w:val="22"/>
      <w:lang w:val="ca-ES" w:eastAsia="en-US" w:bidi="ar-SA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0</TotalTime>
  <Application>LibreOffice/24.8.5.2$Windows_X86_64 LibreOffice_project/fddf2685c70b461e7832239a0162a77216259f22</Application>
  <AppVersion>15.0000</AppVersion>
  <Pages>2</Pages>
  <Words>355</Words>
  <Characters>2060</Characters>
  <CharactersWithSpaces>2402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2026-04-07T08:40:20Z</dcterms:created>
  <dc:creator/>
  <dc:description/>
  <dc:language>es-ES</dc:language>
  <cp:lastModifiedBy/>
  <dcterms:modified xsi:type="dcterms:W3CDTF">2026-04-07T08:41:09Z</dcterms:modified>
  <cp:revision>2</cp:revision>
  <dc:subject/>
  <dc:title>AJUNTAMENT</dc:title>
</cp:coreProperties>
</file>