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pBdr/>
        <w:spacing w:lineRule="auto" w:line="276"/>
        <w:ind w:hanging="0" w:lef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i/>
          <w:iCs/>
          <w:color w:val="000000"/>
          <w:sz w:val="22"/>
          <w:szCs w:val="22"/>
          <w:shd w:fill="auto" w:val="clear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shd w:fill="auto" w:val="clear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shd w:fill="auto" w:val="clear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shd w:fill="auto" w:val="clear"/>
          <w:lang w:val="ca-ES"/>
        </w:rPr>
        <w:t>amb les següents condicions:</w:t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>A</w:t>
      </w:r>
      <w:r>
        <w:rPr>
          <w:rFonts w:ascii="Arial" w:hAnsi="Arial"/>
          <w:sz w:val="22"/>
          <w:szCs w:val="22"/>
          <w:u w:val="single"/>
          <w:shd w:fill="auto" w:val="clear"/>
        </w:rPr>
        <w:t xml:space="preserve">.- Proposta econòmica / </w:t>
      </w:r>
      <w:r>
        <w:rPr>
          <w:rFonts w:ascii="Arial" w:hAnsi="Arial"/>
          <w:sz w:val="22"/>
          <w:szCs w:val="22"/>
          <w:u w:val="single"/>
          <w:shd w:fill="auto" w:val="clear"/>
        </w:rPr>
        <w:t>Millora de preu</w:t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>A.1.</w:t>
      </w:r>
      <w:r>
        <w:rPr>
          <w:rFonts w:ascii="Arial" w:hAnsi="Arial"/>
          <w:sz w:val="22"/>
          <w:szCs w:val="22"/>
          <w:u w:val="single"/>
          <w:shd w:fill="auto" w:val="clear"/>
        </w:rPr>
        <w:t xml:space="preserve">) </w:t>
      </w:r>
      <w:r>
        <w:rPr>
          <w:rFonts w:ascii="Arial" w:hAnsi="Arial"/>
          <w:sz w:val="22"/>
          <w:szCs w:val="22"/>
          <w:u w:val="single"/>
          <w:shd w:fill="auto" w:val="clear"/>
        </w:rPr>
        <w:t>Bustiades no nominatives</w:t>
      </w:r>
    </w:p>
    <w:tbl>
      <w:tblPr>
        <w:tblW w:w="9075" w:type="dxa"/>
        <w:jc w:val="left"/>
        <w:tblInd w:w="2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5"/>
        <w:gridCol w:w="2880"/>
        <w:gridCol w:w="1545"/>
        <w:gridCol w:w="1470"/>
        <w:gridCol w:w="1275"/>
        <w:gridCol w:w="1500"/>
      </w:tblGrid>
      <w:tr>
        <w:trPr/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QUANTITATS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PREU </w:t>
            </w:r>
          </w:p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UNITARI MÀXIM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OFERTA</w:t>
            </w:r>
          </w:p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PREU UNITARI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IVA (21%)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TOTAL (IVA INCLÒS)</w:t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1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 xml:space="preserve">Fins a 3.000 unitats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0,20 €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</w:tr>
      <w:tr>
        <w:trPr/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suppressLineNumbers/>
              <w:bidi w:val="0"/>
              <w:ind w:hanging="0" w:left="0" w:right="397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2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 xml:space="preserve">Més de 3.000 unitats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0,18 €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</w:tr>
    </w:tbl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1.-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de ........................ euros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unitat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unitat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 bustiades de fins a 3.000 unitats.</w:t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2,-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de ........................ euros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unitat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unitat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 bustiades de més de 3.000 unitats.</w:t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numPr>
          <w:ilvl w:val="0"/>
          <w:numId w:val="2"/>
        </w:numPr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A.2.</w:t>
      </w: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 xml:space="preserve">) </w:t>
      </w: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Col·locació de cartells.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4"/>
        <w:gridCol w:w="3159"/>
        <w:gridCol w:w="1558"/>
        <w:gridCol w:w="1468"/>
        <w:gridCol w:w="1268"/>
        <w:gridCol w:w="1497"/>
      </w:tblGrid>
      <w:tr>
        <w:trPr/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QUANTITATS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PREU </w:t>
            </w:r>
          </w:p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UNITARI MÀXIM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OFERTA</w:t>
            </w:r>
          </w:p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PREU UNITARI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IVA (21%)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TOTAL (IVA INCLÒS)</w:t>
            </w:r>
          </w:p>
        </w:tc>
      </w:tr>
      <w:tr>
        <w:trPr/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1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Fins a 1.000 unitats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0,</w:t>
            </w:r>
            <w:r>
              <w:rPr>
                <w:rFonts w:eastAsia="Arial" w:cs="Arial"/>
                <w:szCs w:val="22"/>
                <w:shd w:fill="auto" w:val="clear"/>
              </w:rPr>
              <w:t>85</w:t>
            </w:r>
            <w:r>
              <w:rPr>
                <w:rFonts w:eastAsia="Arial" w:cs="Arial"/>
                <w:szCs w:val="22"/>
                <w:shd w:fill="auto" w:val="clear"/>
              </w:rPr>
              <w:t xml:space="preserve"> €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</w:tr>
      <w:tr>
        <w:trPr/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2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 xml:space="preserve">Més de 1.000 unitats 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0,</w:t>
            </w:r>
            <w:r>
              <w:rPr>
                <w:rFonts w:eastAsia="Arial" w:cs="Arial"/>
                <w:szCs w:val="22"/>
                <w:shd w:fill="auto" w:val="clear"/>
              </w:rPr>
              <w:t>78</w:t>
            </w:r>
            <w:r>
              <w:rPr>
                <w:rFonts w:eastAsia="Arial" w:cs="Arial"/>
                <w:szCs w:val="22"/>
                <w:shd w:fill="auto" w:val="clear"/>
              </w:rPr>
              <w:t xml:space="preserve"> €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1.-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de ........................ euros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unitat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unitat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 col·locació de cartells de fins a 1.000 unitats.</w:t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2,-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de ........................ euros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unitat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unitat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 col·locació de cartells de més de 1.000 unitats.</w:t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numPr>
          <w:ilvl w:val="0"/>
          <w:numId w:val="2"/>
        </w:numPr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A.</w:t>
      </w: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3</w:t>
      </w: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.</w:t>
      </w: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) Retirada de cartells</w:t>
      </w:r>
      <w:r>
        <w:rPr>
          <w:rFonts w:ascii="Arial" w:hAnsi="Arial"/>
          <w:b w:val="false"/>
          <w:bCs w:val="false"/>
          <w:sz w:val="22"/>
          <w:szCs w:val="22"/>
          <w:u w:val="single"/>
          <w:shd w:fill="auto" w:val="clear"/>
        </w:rPr>
        <w:t>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9"/>
        <w:gridCol w:w="3174"/>
        <w:gridCol w:w="1558"/>
        <w:gridCol w:w="1468"/>
        <w:gridCol w:w="1268"/>
        <w:gridCol w:w="1497"/>
      </w:tblGrid>
      <w:tr>
        <w:trPr/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QUANTITATS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PREU </w:t>
            </w:r>
          </w:p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UNITARI MÀXIM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OFERTA</w:t>
            </w:r>
          </w:p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 xml:space="preserve">PREU UNITARI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IVA (21%)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b/>
                <w:bCs/>
                <w:szCs w:val="22"/>
                <w:shd w:fill="auto" w:val="clear"/>
              </w:rPr>
            </w:pPr>
            <w:r>
              <w:rPr>
                <w:rFonts w:eastAsia="Arial" w:cs="Arial"/>
                <w:b/>
                <w:bCs/>
                <w:szCs w:val="22"/>
                <w:shd w:fill="auto" w:val="clear"/>
              </w:rPr>
              <w:t>TOTAL (IVA INCLÒS)</w:t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1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Fins a 1.000 unitats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0,</w:t>
            </w:r>
            <w:r>
              <w:rPr>
                <w:rFonts w:eastAsia="Arial" w:cs="Arial"/>
                <w:szCs w:val="22"/>
                <w:shd w:fill="auto" w:val="clear"/>
              </w:rPr>
              <w:t>85</w:t>
            </w:r>
            <w:r>
              <w:rPr>
                <w:rFonts w:eastAsia="Arial" w:cs="Arial"/>
                <w:szCs w:val="22"/>
                <w:shd w:fill="auto" w:val="clear"/>
              </w:rPr>
              <w:t xml:space="preserve"> €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2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 xml:space="preserve">Més de 1.000 unitats 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  <w:t>0,</w:t>
            </w:r>
            <w:r>
              <w:rPr>
                <w:rFonts w:eastAsia="Arial" w:cs="Arial"/>
                <w:szCs w:val="22"/>
                <w:shd w:fill="auto" w:val="clear"/>
              </w:rPr>
              <w:t>78</w:t>
            </w:r>
            <w:r>
              <w:rPr>
                <w:rFonts w:eastAsia="Arial" w:cs="Arial"/>
                <w:szCs w:val="22"/>
                <w:shd w:fill="auto" w:val="clear"/>
              </w:rPr>
              <w:t xml:space="preserve"> €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eastAsia="Arial" w:cs="Arial"/>
                <w:szCs w:val="22"/>
                <w:shd w:fill="auto" w:val="clear"/>
              </w:rPr>
            </w:pPr>
            <w:r>
              <w:rPr>
                <w:rFonts w:eastAsia="Arial" w:cs="Arial"/>
                <w:szCs w:val="22"/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1.-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de ........................ euros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unitat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unitat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 retirada de cartells de fins a 1.000 unitats.</w:t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2,-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de ........................ euros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unitat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/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unitat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 retirada de cartells de més de 1.000 unitats.</w:t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numPr>
          <w:ilvl w:val="0"/>
          <w:numId w:val="2"/>
        </w:numPr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pBdr/>
        <w:ind w:hanging="0" w:left="0"/>
        <w:rPr>
          <w:rFonts w:ascii="Arial" w:hAnsi="Arial"/>
          <w:sz w:val="22"/>
          <w:szCs w:val="22"/>
          <w:shd w:fill="auto" w:val="clear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  <w:shd w:fill="auto" w:val="clear"/>
        </w:rPr>
        <w:t xml:space="preserve">B.- </w:t>
      </w:r>
      <w:r>
        <w:rPr>
          <w:rFonts w:ascii="Arial" w:hAnsi="Arial"/>
          <w:sz w:val="22"/>
          <w:szCs w:val="22"/>
          <w:u w:val="single"/>
          <w:shd w:fill="auto" w:val="clear"/>
        </w:rPr>
        <w:t>Altres c</w:t>
      </w:r>
      <w:r>
        <w:rPr>
          <w:rFonts w:ascii="Arial" w:hAnsi="Arial"/>
          <w:sz w:val="22"/>
          <w:szCs w:val="22"/>
          <w:u w:val="single"/>
          <w:shd w:fill="auto" w:val="clear"/>
        </w:rPr>
        <w:t>riteris automàtics</w:t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 w:val="false"/>
          <w:bCs w:val="false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  <w:shd w:fill="auto" w:val="clear"/>
          <w:lang w:val="ca-ES"/>
        </w:rPr>
        <w:t>B.1.</w:t>
      </w:r>
      <w:r>
        <w:rPr>
          <w:rFonts w:cs="Arial" w:ascii="Arial" w:hAnsi="Arial"/>
          <w:b w:val="false"/>
          <w:bCs w:val="false"/>
          <w:sz w:val="22"/>
          <w:szCs w:val="22"/>
          <w:u w:val="single"/>
          <w:shd w:fill="auto" w:val="clear"/>
          <w:lang w:val="ca-ES"/>
        </w:rPr>
        <w:t xml:space="preserve">) </w:t>
      </w:r>
      <w:r>
        <w:rPr>
          <w:rFonts w:cs="Arial" w:ascii="Arial" w:hAnsi="Arial"/>
          <w:b w:val="false"/>
          <w:bCs w:val="false"/>
          <w:sz w:val="22"/>
          <w:szCs w:val="22"/>
          <w:u w:val="single"/>
          <w:shd w:fill="auto" w:val="clear"/>
          <w:lang w:val="ca-ES"/>
        </w:rPr>
        <w:t>Experiència de la persona coordinadora.</w:t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tbl>
      <w:tblPr>
        <w:tblW w:w="9720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35"/>
        <w:gridCol w:w="1650"/>
        <w:gridCol w:w="1635"/>
      </w:tblGrid>
      <w:tr>
        <w:trPr>
          <w:tblHeader w:val="true"/>
        </w:trPr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  <w:vAlign w:val="center"/>
          </w:tcPr>
          <w:p>
            <w:pPr>
              <w:pStyle w:val="Encapalamentdelataula"/>
              <w:numPr>
                <w:ilvl w:val="0"/>
                <w:numId w:val="2"/>
              </w:numPr>
              <w:bidi w:val="0"/>
              <w:ind w:hanging="0" w:left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Experiència acreditada com a persona coordinadora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  <w:vAlign w:val="center"/>
          </w:tcPr>
          <w:p>
            <w:pPr>
              <w:pStyle w:val="Encapalamentdelataula"/>
              <w:numPr>
                <w:ilvl w:val="0"/>
                <w:numId w:val="2"/>
              </w:numPr>
              <w:bidi w:val="0"/>
              <w:ind w:hanging="0" w:left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 xml:space="preserve">Número </w:t>
            </w:r>
          </w:p>
          <w:p>
            <w:pPr>
              <w:pStyle w:val="Encapalamentdelataula"/>
              <w:numPr>
                <w:ilvl w:val="0"/>
                <w:numId w:val="2"/>
              </w:numPr>
              <w:bidi w:val="0"/>
              <w:ind w:hanging="0" w:left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 xml:space="preserve">Mesos / Anys 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Encapalamentdelataula"/>
              <w:numPr>
                <w:ilvl w:val="0"/>
                <w:numId w:val="2"/>
              </w:numPr>
              <w:bidi w:val="0"/>
              <w:ind w:hanging="0" w:left="0"/>
              <w:rPr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Marcar</w:t>
            </w:r>
            <w:r>
              <w:rPr>
                <w:shd w:fill="auto" w:val="clear"/>
              </w:rPr>
              <w:t xml:space="preserve"> </w:t>
            </w:r>
          </w:p>
        </w:tc>
      </w:tr>
      <w:tr>
        <w:trPr/>
        <w:tc>
          <w:tcPr>
            <w:tcW w:w="6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De 0 a 6 mesos d’experiència.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De 6 mesos a 1 any d’experiència.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De 1 any fins a 3 anys d’experiència.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Més de 3 anys d’experiència.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numPr>
                <w:ilvl w:val="0"/>
                <w:numId w:val="2"/>
              </w:numPr>
              <w:bidi w:val="0"/>
              <w:ind w:hanging="0" w:left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2"/>
        </w:numPr>
        <w:pBdr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/>
        <w:ind w:hanging="0" w:left="0" w:right="0"/>
        <w:rPr>
          <w:rFonts w:ascii="Arial" w:hAnsi="Arial" w:cs="Mangal"/>
          <w:sz w:val="22"/>
          <w:szCs w:val="22"/>
          <w:shd w:fill="auto" w:val="clear"/>
          <w:lang w:val="ca-ES"/>
        </w:rPr>
      </w:pPr>
      <w:r>
        <w:rPr>
          <w:rFonts w:cs="Mangal"/>
          <w:sz w:val="22"/>
          <w:szCs w:val="22"/>
          <w:shd w:fill="auto" w:val="clear"/>
          <w:lang w:val="ca-ES"/>
        </w:rPr>
        <w:t>Per tal d’acreditar l’experiència de la persona coordinadora s’haurà d’</w:t>
      </w:r>
      <w:r>
        <w:rPr>
          <w:rFonts w:cs="Mangal"/>
          <w:sz w:val="22"/>
          <w:szCs w:val="22"/>
          <w:shd w:fill="auto" w:val="clear"/>
          <w:lang w:val="ca-ES"/>
        </w:rPr>
        <w:t xml:space="preserve">aportar, mitjançant declaració responsable de l’empresa licitadora, indicant el nom de la persona, el càrrec i el període d’experiència, i adjuntant la corresponent vida laboral d’aquest personal. Sens perjudici d’això, l’òrgan de contractació podrà requerir, en qualsevol moment, la </w:t>
      </w:r>
      <w:r>
        <w:rPr>
          <w:rFonts w:cs="Mangal"/>
          <w:sz w:val="22"/>
          <w:szCs w:val="22"/>
          <w:shd w:fill="auto" w:val="clear"/>
          <w:lang w:val="ca-ES"/>
        </w:rPr>
        <w:t>d</w:t>
      </w:r>
      <w:r>
        <w:rPr>
          <w:rFonts w:cs="Mangal"/>
          <w:sz w:val="22"/>
          <w:szCs w:val="22"/>
          <w:shd w:fill="auto" w:val="clear"/>
          <w:lang w:val="ca-ES"/>
        </w:rPr>
        <w:t>ocumentació aportada per comprovar la seva conformitat amb la declaració responsable.</w:t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/>
        <w:ind w:hanging="0" w:left="0" w:right="0"/>
        <w:rPr>
          <w:rFonts w:ascii="Arial" w:hAnsi="Arial" w:cs="Mangal"/>
          <w:sz w:val="22"/>
          <w:szCs w:val="22"/>
          <w:shd w:fill="auto" w:val="clear"/>
          <w:lang w:val="ca-ES"/>
        </w:rPr>
      </w:pPr>
      <w:r>
        <w:rPr>
          <w:rFonts w:cs="Mangal"/>
          <w:sz w:val="22"/>
          <w:szCs w:val="22"/>
          <w:shd w:fill="auto" w:val="clear"/>
          <w:lang w:val="ca-ES"/>
        </w:rPr>
        <w:t>La manca de presentació de la documentació establerta es valorarà amb 0 punts en aquest criteri.</w:t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/>
        <w:ind w:hanging="0" w:left="0" w:right="0"/>
        <w:rPr>
          <w:rFonts w:ascii="Arial" w:hAnsi="Arial" w:cs="Mangal"/>
          <w:sz w:val="22"/>
          <w:szCs w:val="22"/>
          <w:shd w:fill="auto" w:val="clear"/>
          <w:lang w:val="ca-ES"/>
        </w:rPr>
      </w:pPr>
      <w:r>
        <w:rPr>
          <w:rFonts w:cs="Mangal"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bidi w:val="0"/>
        <w:spacing w:lineRule="auto" w:line="276"/>
        <w:ind w:hanging="0" w:left="0"/>
        <w:jc w:val="both"/>
        <w:rPr>
          <w:rFonts w:ascii="Arial" w:hAnsi="Arial" w:cs="Arial"/>
          <w:b/>
          <w:bCs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sz w:val="22"/>
          <w:szCs w:val="22"/>
          <w:shd w:fill="auto" w:val="clear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NoSpacing">
    <w:name w:val="No Spacing"/>
    <w:qFormat/>
    <w:pPr>
      <w:widowControl/>
      <w:suppressAutoHyphens w:val="false"/>
      <w:kinsoku w:val="true"/>
      <w:overflowPunct w:val="true"/>
      <w:autoSpaceDE w:val="true"/>
      <w:bidi w:val="0"/>
      <w:spacing w:before="0" w:after="0"/>
      <w:jc w:val="left"/>
      <w:textAlignment w:val="auto"/>
    </w:pPr>
    <w:rPr>
      <w:rFonts w:ascii="Times New Roman" w:hAnsi="Times New Roman" w:eastAsia="Arial Unicode MS" w:cs="Arial Unicode MS"/>
      <w:color w:val="auto"/>
      <w:sz w:val="22"/>
      <w:szCs w:val="22"/>
      <w:lang w:val="es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LibreOffice/24.8.5.2$Windows_X86_64 LibreOffice_project/fddf2685c70b461e7832239a0162a77216259f22</Application>
  <AppVersion>15.0000</AppVersion>
  <Pages>3</Pages>
  <Words>642</Words>
  <Characters>3779</Characters>
  <CharactersWithSpaces>4380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2026-03-31T12:30:01Z</dcterms:created>
  <dc:creator/>
  <dc:description/>
  <dc:language>es-ES</dc:language>
  <cp:lastModifiedBy/>
  <dcterms:modified xsi:type="dcterms:W3CDTF">2026-03-31T12:31:58Z</dcterms:modified>
  <cp:revision>3</cp:revision>
  <dc:subject/>
  <dc:title>AJUNTAMENT</dc:title>
</cp:coreProperties>
</file>