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distT="635" distB="0" distL="635" distR="0" simplePos="0" relativeHeight="5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" distB="0" distL="635" distR="0" simplePos="0" relativeHeight="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3810" distB="2540" distL="3810" distR="254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" distB="0" distL="635" distR="0" simplePos="0" relativeHeight="1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5pt;height:16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distT="635" distB="0" distL="635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" distB="0" distL="635" distR="0" simplePos="0" relativeHeight="9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3810" distB="2540" distL="3810" distR="254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" distB="0" distL="635" distR="0" simplePos="0" relativeHeight="1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5pt;height:16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Informació continguda en el sobre únic referent a la “Documentació avaluable mitjançant criteris avaluables de forma automàtica”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mc:AlternateContent>
          <mc:Choice Requires="wps">
            <w:drawing>
              <wp:anchor distT="3810" distB="2540" distL="3810" distR="254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" distB="0" distL="635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" distB="0" distL="635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635" distB="0" distL="635" distR="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5pt;height:16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color w:val="auto"/>
          <w:sz w:val="22"/>
          <w:szCs w:val="22"/>
          <w:lang w:val="ca-ES"/>
        </w:rPr>
        <w:t>Qualsevol altre que considereu oportú.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LibreOffice/25.8.5.2$Windows_X86_64 LibreOffice_project/9c8b85f387cc00a89945a79c9e6239f32e450ac2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2026-03-25T12:48:42Z</dcterms:modified>
  <cp:revision>27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