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41C5B" w14:textId="02FC3736" w:rsidR="004119D9" w:rsidRPr="001D7A13" w:rsidRDefault="00A34AA8" w:rsidP="006C1FDE">
      <w:pPr>
        <w:keepLines/>
        <w:suppressLineNumbers/>
        <w:pBdr>
          <w:bottom w:val="single" w:sz="6" w:space="1" w:color="auto"/>
        </w:pBdr>
        <w:suppressAutoHyphens/>
        <w:spacing w:line="276" w:lineRule="auto"/>
        <w:jc w:val="both"/>
        <w:rPr>
          <w:rFonts w:ascii="Arial" w:hAnsi="Arial" w:cs="Arial"/>
          <w:b/>
          <w:sz w:val="22"/>
          <w:lang w:val="ca-ES"/>
        </w:rPr>
      </w:pPr>
      <w:r>
        <w:rPr>
          <w:rFonts w:ascii="Arial" w:hAnsi="Arial" w:cs="Arial"/>
          <w:b/>
          <w:sz w:val="22"/>
          <w:lang w:val="ca-ES"/>
        </w:rPr>
        <w:t>MEMÒRIA JUSTIFICA</w:t>
      </w:r>
      <w:r w:rsidR="00BF1D2F">
        <w:rPr>
          <w:rFonts w:ascii="Arial" w:hAnsi="Arial" w:cs="Arial"/>
          <w:b/>
          <w:sz w:val="22"/>
          <w:lang w:val="ca-ES"/>
        </w:rPr>
        <w:t>TIVA</w:t>
      </w:r>
      <w:r>
        <w:rPr>
          <w:rFonts w:ascii="Arial" w:hAnsi="Arial" w:cs="Arial"/>
          <w:b/>
          <w:sz w:val="22"/>
          <w:lang w:val="ca-ES"/>
        </w:rPr>
        <w:t xml:space="preserve"> </w:t>
      </w:r>
      <w:r w:rsidR="00742313">
        <w:rPr>
          <w:rFonts w:ascii="Arial" w:hAnsi="Arial" w:cs="Arial"/>
          <w:b/>
          <w:sz w:val="22"/>
          <w:lang w:val="ca-ES"/>
        </w:rPr>
        <w:t>EN RELACIÓ</w:t>
      </w:r>
      <w:r>
        <w:rPr>
          <w:rFonts w:ascii="Arial" w:hAnsi="Arial" w:cs="Arial"/>
          <w:b/>
          <w:sz w:val="22"/>
          <w:lang w:val="ca-ES"/>
        </w:rPr>
        <w:t xml:space="preserve"> A</w:t>
      </w:r>
      <w:r w:rsidR="00A179F5">
        <w:rPr>
          <w:rFonts w:ascii="Arial" w:hAnsi="Arial" w:cs="Arial"/>
          <w:b/>
          <w:sz w:val="22"/>
          <w:lang w:val="ca-ES"/>
        </w:rPr>
        <w:t>MB</w:t>
      </w:r>
      <w:r w:rsidR="006C1FDE" w:rsidRPr="006C1FDE">
        <w:rPr>
          <w:rFonts w:ascii="Arial" w:hAnsi="Arial" w:cs="Arial"/>
          <w:b/>
          <w:sz w:val="22"/>
          <w:lang w:val="ca-ES"/>
        </w:rPr>
        <w:t xml:space="preserve"> </w:t>
      </w:r>
      <w:r w:rsidR="00C64F27">
        <w:rPr>
          <w:rFonts w:ascii="Arial" w:hAnsi="Arial" w:cs="Arial"/>
          <w:b/>
          <w:sz w:val="22"/>
          <w:lang w:val="ca-ES"/>
        </w:rPr>
        <w:t xml:space="preserve">LA CONTRACTACIÓ </w:t>
      </w:r>
      <w:r w:rsidR="000F78D2">
        <w:rPr>
          <w:rFonts w:ascii="Arial" w:hAnsi="Arial" w:cs="Arial"/>
          <w:b/>
          <w:sz w:val="22"/>
          <w:lang w:val="ca-ES"/>
        </w:rPr>
        <w:t>PER A L</w:t>
      </w:r>
      <w:r w:rsidR="000F78D2" w:rsidRPr="000F78D2">
        <w:rPr>
          <w:rFonts w:ascii="Arial" w:hAnsi="Arial" w:cs="Arial"/>
          <w:b/>
          <w:sz w:val="22"/>
          <w:lang w:val="ca-ES"/>
        </w:rPr>
        <w:t>’ASSISTÈNCIA TÈCNICA A L’ICAEN EN ELS ÀMBITS DEL MEDI AMBIENT,</w:t>
      </w:r>
      <w:r w:rsidR="00673E0C">
        <w:rPr>
          <w:rFonts w:ascii="Arial" w:hAnsi="Arial" w:cs="Arial"/>
          <w:b/>
          <w:sz w:val="22"/>
          <w:lang w:val="ca-ES"/>
        </w:rPr>
        <w:t xml:space="preserve"> L’AGRICULTURA,</w:t>
      </w:r>
      <w:r w:rsidR="000F78D2" w:rsidRPr="000F78D2">
        <w:rPr>
          <w:rFonts w:ascii="Arial" w:hAnsi="Arial" w:cs="Arial"/>
          <w:b/>
          <w:sz w:val="22"/>
          <w:lang w:val="ca-ES"/>
        </w:rPr>
        <w:t xml:space="preserve"> L’URBANISME I EL TERRITORI EN LA REALITZACIÓ DEL PLA TERRITORIAL SECTORIAL PER A LA IMPLANTACIÓ DE LES ENERGIES RENOVABLES A CATALUNYA (PLATER)</w:t>
      </w:r>
    </w:p>
    <w:p w14:paraId="6C5097A9" w14:textId="77777777" w:rsidR="00742313" w:rsidRDefault="00742313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</w:p>
    <w:p w14:paraId="6AD72EF8" w14:textId="77777777" w:rsidR="004119D9" w:rsidRDefault="00BF1D2F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Dades del contracte</w:t>
      </w:r>
      <w:r w:rsidR="00413D30">
        <w:rPr>
          <w:rFonts w:ascii="Arial" w:hAnsi="Arial" w:cs="Arial"/>
          <w:sz w:val="22"/>
          <w:lang w:val="ca-ES"/>
        </w:rPr>
        <w:t>:</w:t>
      </w:r>
    </w:p>
    <w:p w14:paraId="5C31D49B" w14:textId="77777777" w:rsidR="00585768" w:rsidRDefault="00585768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</w:p>
    <w:p w14:paraId="7EB62987" w14:textId="40981CA6" w:rsidR="00675F59" w:rsidRDefault="00675F59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  <w:r w:rsidRPr="007A4A04">
        <w:rPr>
          <w:rFonts w:ascii="Arial" w:hAnsi="Arial" w:cs="Arial"/>
          <w:sz w:val="22"/>
          <w:lang w:val="ca-ES"/>
        </w:rPr>
        <w:t>Expedient</w:t>
      </w:r>
      <w:r w:rsidRPr="00C70A32">
        <w:rPr>
          <w:rFonts w:ascii="Arial" w:hAnsi="Arial" w:cs="Arial"/>
          <w:sz w:val="22"/>
          <w:lang w:val="ca-ES"/>
        </w:rPr>
        <w:t>:</w:t>
      </w:r>
      <w:r w:rsidR="000F78D2" w:rsidRPr="00C70A32">
        <w:rPr>
          <w:rFonts w:ascii="Arial" w:hAnsi="Arial" w:cs="Arial"/>
          <w:sz w:val="22"/>
          <w:lang w:val="ca-ES"/>
        </w:rPr>
        <w:t xml:space="preserve"> ICAEN-202</w:t>
      </w:r>
      <w:r w:rsidR="00D764F2" w:rsidRPr="00C70A32">
        <w:rPr>
          <w:rFonts w:ascii="Arial" w:hAnsi="Arial" w:cs="Arial"/>
          <w:sz w:val="22"/>
          <w:lang w:val="ca-ES"/>
        </w:rPr>
        <w:t>6</w:t>
      </w:r>
      <w:r w:rsidR="007A4A04" w:rsidRPr="00C70A32">
        <w:rPr>
          <w:rFonts w:ascii="Arial" w:hAnsi="Arial" w:cs="Arial"/>
          <w:sz w:val="22"/>
          <w:lang w:val="ca-ES"/>
        </w:rPr>
        <w:t>-</w:t>
      </w:r>
      <w:r w:rsidR="00985277" w:rsidRPr="00C70A32">
        <w:rPr>
          <w:rFonts w:ascii="Arial" w:hAnsi="Arial" w:cs="Arial"/>
          <w:sz w:val="22"/>
          <w:lang w:val="ca-ES"/>
        </w:rPr>
        <w:t>001</w:t>
      </w:r>
      <w:r>
        <w:rPr>
          <w:rFonts w:ascii="Arial" w:hAnsi="Arial" w:cs="Arial"/>
          <w:sz w:val="22"/>
          <w:lang w:val="ca-ES"/>
        </w:rPr>
        <w:t xml:space="preserve"> </w:t>
      </w:r>
    </w:p>
    <w:p w14:paraId="2D641D79" w14:textId="77777777" w:rsidR="00675F59" w:rsidRDefault="00675F59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 xml:space="preserve">Contracte: </w:t>
      </w:r>
      <w:r w:rsidRPr="001405F6">
        <w:rPr>
          <w:rFonts w:ascii="Arial" w:hAnsi="Arial" w:cs="Arial"/>
          <w:sz w:val="22"/>
          <w:lang w:val="ca-ES"/>
        </w:rPr>
        <w:t xml:space="preserve">Contracte </w:t>
      </w:r>
      <w:r w:rsidR="00BF1D2F" w:rsidRPr="001405F6">
        <w:rPr>
          <w:rFonts w:ascii="Arial" w:hAnsi="Arial" w:cs="Arial"/>
          <w:sz w:val="22"/>
          <w:lang w:val="ca-ES"/>
        </w:rPr>
        <w:t>pú</w:t>
      </w:r>
      <w:r w:rsidR="00413D30" w:rsidRPr="001405F6">
        <w:rPr>
          <w:rFonts w:ascii="Arial" w:hAnsi="Arial" w:cs="Arial"/>
          <w:sz w:val="22"/>
          <w:lang w:val="ca-ES"/>
        </w:rPr>
        <w:t>blic de serveis</w:t>
      </w:r>
    </w:p>
    <w:p w14:paraId="74CB877E" w14:textId="77777777" w:rsidR="00675F59" w:rsidRDefault="00675F59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Procediment: Procediment obert no subjecte a regulació harmonitzada</w:t>
      </w:r>
    </w:p>
    <w:p w14:paraId="3F19D320" w14:textId="09C6A576" w:rsidR="00C64F27" w:rsidRDefault="00675F59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 xml:space="preserve">Títol: </w:t>
      </w:r>
      <w:r w:rsidR="000F78D2">
        <w:rPr>
          <w:rFonts w:ascii="Arial" w:hAnsi="Arial" w:cs="Arial"/>
          <w:sz w:val="22"/>
          <w:lang w:val="ca-ES"/>
        </w:rPr>
        <w:t>C</w:t>
      </w:r>
      <w:r w:rsidR="000F78D2" w:rsidRPr="000F78D2">
        <w:rPr>
          <w:rFonts w:ascii="Arial" w:hAnsi="Arial" w:cs="Arial"/>
          <w:sz w:val="22"/>
          <w:lang w:val="ca-ES"/>
        </w:rPr>
        <w:t>ontractació pe</w:t>
      </w:r>
      <w:r w:rsidR="001405F6">
        <w:rPr>
          <w:rFonts w:ascii="Arial" w:hAnsi="Arial" w:cs="Arial"/>
          <w:sz w:val="22"/>
          <w:lang w:val="ca-ES"/>
        </w:rPr>
        <w:t xml:space="preserve">r a </w:t>
      </w:r>
      <w:r w:rsidR="000F78D2">
        <w:rPr>
          <w:rFonts w:ascii="Arial" w:hAnsi="Arial" w:cs="Arial"/>
          <w:sz w:val="22"/>
          <w:lang w:val="ca-ES"/>
        </w:rPr>
        <w:t xml:space="preserve">l’assistència tècnica a </w:t>
      </w:r>
      <w:r w:rsidR="001405F6">
        <w:rPr>
          <w:rFonts w:ascii="Arial" w:hAnsi="Arial" w:cs="Arial"/>
          <w:sz w:val="22"/>
          <w:lang w:val="ca-ES"/>
        </w:rPr>
        <w:t>l’ICAEN</w:t>
      </w:r>
      <w:r w:rsidR="000F78D2" w:rsidRPr="000F78D2">
        <w:rPr>
          <w:rFonts w:ascii="Arial" w:hAnsi="Arial" w:cs="Arial"/>
          <w:sz w:val="22"/>
          <w:lang w:val="ca-ES"/>
        </w:rPr>
        <w:t xml:space="preserve"> en els àmbits del medi ambient, </w:t>
      </w:r>
      <w:r w:rsidR="00673E0C">
        <w:rPr>
          <w:rFonts w:ascii="Arial" w:hAnsi="Arial" w:cs="Arial"/>
          <w:sz w:val="22"/>
          <w:lang w:val="ca-ES"/>
        </w:rPr>
        <w:t xml:space="preserve">l’agricultura, </w:t>
      </w:r>
      <w:r w:rsidR="000F78D2" w:rsidRPr="000F78D2">
        <w:rPr>
          <w:rFonts w:ascii="Arial" w:hAnsi="Arial" w:cs="Arial"/>
          <w:sz w:val="22"/>
          <w:lang w:val="ca-ES"/>
        </w:rPr>
        <w:t>l’urbanisme i el territori</w:t>
      </w:r>
      <w:r w:rsidR="00C70A32">
        <w:rPr>
          <w:rFonts w:ascii="Arial" w:hAnsi="Arial" w:cs="Arial"/>
          <w:sz w:val="22"/>
          <w:lang w:val="ca-ES"/>
        </w:rPr>
        <w:t xml:space="preserve"> </w:t>
      </w:r>
      <w:r w:rsidR="000F78D2" w:rsidRPr="000F78D2">
        <w:rPr>
          <w:rFonts w:ascii="Arial" w:hAnsi="Arial" w:cs="Arial"/>
          <w:sz w:val="22"/>
          <w:lang w:val="ca-ES"/>
        </w:rPr>
        <w:t>en la realització del pla territorial sectorial per a la implantaci</w:t>
      </w:r>
      <w:r w:rsidR="000F78D2">
        <w:rPr>
          <w:rFonts w:ascii="Arial" w:hAnsi="Arial" w:cs="Arial"/>
          <w:sz w:val="22"/>
          <w:lang w:val="ca-ES"/>
        </w:rPr>
        <w:t>ó de les energies renovables a C</w:t>
      </w:r>
      <w:r w:rsidR="000F78D2" w:rsidRPr="000F78D2">
        <w:rPr>
          <w:rFonts w:ascii="Arial" w:hAnsi="Arial" w:cs="Arial"/>
          <w:sz w:val="22"/>
          <w:lang w:val="ca-ES"/>
        </w:rPr>
        <w:t>atalunya (</w:t>
      </w:r>
      <w:r w:rsidR="000F78D2">
        <w:rPr>
          <w:rFonts w:ascii="Arial" w:hAnsi="Arial" w:cs="Arial"/>
          <w:sz w:val="22"/>
          <w:lang w:val="ca-ES"/>
        </w:rPr>
        <w:t>PLATER</w:t>
      </w:r>
      <w:r w:rsidR="000F78D2" w:rsidRPr="000F78D2">
        <w:rPr>
          <w:rFonts w:ascii="Arial" w:hAnsi="Arial" w:cs="Arial"/>
          <w:sz w:val="22"/>
          <w:lang w:val="ca-ES"/>
        </w:rPr>
        <w:t>)</w:t>
      </w:r>
    </w:p>
    <w:p w14:paraId="5CC55142" w14:textId="77777777" w:rsidR="00675F59" w:rsidRDefault="00675F59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  <w:r>
        <w:rPr>
          <w:rFonts w:ascii="Arial" w:hAnsi="Arial" w:cs="Arial"/>
          <w:sz w:val="22"/>
          <w:lang w:val="ca-ES"/>
        </w:rPr>
        <w:t>Divisió sol·licitant: Divisió de Planificació Energètica</w:t>
      </w:r>
    </w:p>
    <w:p w14:paraId="18CB3AA1" w14:textId="77777777" w:rsidR="00742313" w:rsidRDefault="00742313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</w:p>
    <w:p w14:paraId="4794EA4F" w14:textId="77777777" w:rsidR="00675F59" w:rsidRPr="00B778E4" w:rsidRDefault="00675F59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</w:p>
    <w:p w14:paraId="36EDBEE7" w14:textId="77777777" w:rsidR="00BF1D2F" w:rsidRPr="00B778E4" w:rsidRDefault="008E3C2D" w:rsidP="006B7958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b/>
          <w:sz w:val="22"/>
          <w:lang w:val="ca-ES"/>
        </w:rPr>
      </w:pPr>
      <w:r w:rsidRPr="00B778E4">
        <w:rPr>
          <w:rFonts w:ascii="Arial" w:hAnsi="Arial" w:cs="Arial"/>
          <w:b/>
          <w:sz w:val="22"/>
          <w:lang w:val="ca-ES"/>
        </w:rPr>
        <w:t xml:space="preserve">1.- Objecte de la </w:t>
      </w:r>
      <w:r w:rsidR="001405F6">
        <w:rPr>
          <w:rFonts w:ascii="Arial" w:hAnsi="Arial" w:cs="Arial"/>
          <w:b/>
          <w:sz w:val="22"/>
          <w:lang w:val="ca-ES"/>
        </w:rPr>
        <w:t>Memòria Justificativa</w:t>
      </w:r>
    </w:p>
    <w:p w14:paraId="59C17477" w14:textId="77777777" w:rsidR="00294EE3" w:rsidRPr="00B778E4" w:rsidRDefault="00294EE3" w:rsidP="006B7958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</w:p>
    <w:p w14:paraId="6D9DDD2F" w14:textId="5B753085" w:rsidR="00266649" w:rsidRPr="00B778E4" w:rsidRDefault="00294EE3" w:rsidP="006B7958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  <w:r w:rsidRPr="00B778E4">
        <w:rPr>
          <w:rFonts w:eastAsia="Myriad Pro"/>
          <w:color w:val="auto"/>
          <w:w w:val="102"/>
          <w:sz w:val="22"/>
          <w:szCs w:val="22"/>
          <w:lang w:eastAsia="es-ES"/>
        </w:rPr>
        <w:t xml:space="preserve">D’acord amb l’article 63.3 a) de la </w:t>
      </w:r>
      <w:r w:rsidRPr="00B778E4">
        <w:rPr>
          <w:rFonts w:eastAsia="Myriad Pro"/>
          <w:i/>
          <w:color w:val="auto"/>
          <w:w w:val="102"/>
          <w:sz w:val="22"/>
          <w:szCs w:val="22"/>
          <w:lang w:eastAsia="es-ES"/>
        </w:rPr>
        <w:t>Llei 9/2017, de 8 de novembre, de contractes del Sector Públic, per la que es transposen a l’ordenament jurídic espanyol les Directives del Parlament Europeu i del Consell 2014/24/UE, de 26 de febrer de 2014</w:t>
      </w:r>
      <w:r w:rsidRPr="00B778E4">
        <w:rPr>
          <w:rFonts w:eastAsia="Myriad Pro"/>
          <w:color w:val="auto"/>
          <w:w w:val="102"/>
          <w:sz w:val="22"/>
          <w:szCs w:val="22"/>
          <w:lang w:eastAsia="es-ES"/>
        </w:rPr>
        <w:t xml:space="preserve">, en els procediments oberts caldrà publicar a la plataforma de contractació una </w:t>
      </w:r>
      <w:r w:rsidRPr="00B778E4">
        <w:rPr>
          <w:iCs/>
          <w:color w:val="auto"/>
          <w:sz w:val="22"/>
          <w:szCs w:val="22"/>
        </w:rPr>
        <w:t>memòria justificativa del contracte i un informe d’insuficiència de mitjans en el cas de contractes de serveis</w:t>
      </w:r>
      <w:r w:rsidR="00266649" w:rsidRPr="00B778E4">
        <w:rPr>
          <w:iCs/>
          <w:color w:val="auto"/>
          <w:sz w:val="22"/>
          <w:szCs w:val="22"/>
        </w:rPr>
        <w:t xml:space="preserve">. </w:t>
      </w:r>
    </w:p>
    <w:p w14:paraId="5C3B39C0" w14:textId="77777777" w:rsidR="00266649" w:rsidRPr="00B778E4" w:rsidRDefault="00266649" w:rsidP="006B7958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</w:p>
    <w:p w14:paraId="67236752" w14:textId="77777777" w:rsidR="00266649" w:rsidRDefault="00266649" w:rsidP="006B7958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  <w:r w:rsidRPr="00B778E4">
        <w:rPr>
          <w:iCs/>
          <w:color w:val="auto"/>
          <w:sz w:val="22"/>
          <w:szCs w:val="22"/>
        </w:rPr>
        <w:t>L</w:t>
      </w:r>
      <w:r w:rsidR="00294EE3" w:rsidRPr="00B778E4">
        <w:rPr>
          <w:iCs/>
          <w:color w:val="auto"/>
          <w:sz w:val="22"/>
          <w:szCs w:val="22"/>
        </w:rPr>
        <w:t xml:space="preserve">a justificació del procediment utilitzat per a la seva adjudicació </w:t>
      </w:r>
      <w:r w:rsidRPr="00B778E4">
        <w:rPr>
          <w:iCs/>
          <w:color w:val="auto"/>
          <w:sz w:val="22"/>
          <w:szCs w:val="22"/>
        </w:rPr>
        <w:t xml:space="preserve">només s’haurà d’informar en aquells casos en que </w:t>
      </w:r>
      <w:r w:rsidR="00294EE3" w:rsidRPr="00B778E4">
        <w:rPr>
          <w:iCs/>
          <w:color w:val="auto"/>
          <w:sz w:val="22"/>
          <w:szCs w:val="22"/>
        </w:rPr>
        <w:t>s’utilitzi un procediment difer</w:t>
      </w:r>
      <w:r w:rsidR="003306AE" w:rsidRPr="00B778E4">
        <w:rPr>
          <w:iCs/>
          <w:color w:val="auto"/>
          <w:sz w:val="22"/>
          <w:szCs w:val="22"/>
        </w:rPr>
        <w:t>ent de l’obert o del restringit</w:t>
      </w:r>
      <w:r w:rsidR="00B14C82" w:rsidRPr="00B778E4">
        <w:rPr>
          <w:iCs/>
          <w:color w:val="auto"/>
          <w:sz w:val="22"/>
          <w:szCs w:val="22"/>
        </w:rPr>
        <w:t>.</w:t>
      </w:r>
    </w:p>
    <w:p w14:paraId="543F9632" w14:textId="77777777" w:rsidR="001405F6" w:rsidRPr="00B778E4" w:rsidRDefault="001405F6" w:rsidP="006B7958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</w:p>
    <w:p w14:paraId="2671DB1A" w14:textId="77777777" w:rsidR="00294EE3" w:rsidRPr="00B778E4" w:rsidRDefault="00266649" w:rsidP="006B7958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  <w:r w:rsidRPr="00B778E4">
        <w:rPr>
          <w:iCs/>
          <w:color w:val="auto"/>
          <w:sz w:val="22"/>
          <w:szCs w:val="22"/>
        </w:rPr>
        <w:t xml:space="preserve">Finalment, s’haurà de seguir publicant </w:t>
      </w:r>
      <w:r w:rsidR="00294EE3" w:rsidRPr="00B778E4">
        <w:rPr>
          <w:iCs/>
          <w:color w:val="auto"/>
          <w:sz w:val="22"/>
          <w:szCs w:val="22"/>
        </w:rPr>
        <w:t>el plec de clàusules administratives particulars i el de prescripcions tècniques que hagin de regir el contracte o documents equivalents, si s’escau, i el document d’aprovació de l’expedient</w:t>
      </w:r>
      <w:r w:rsidRPr="00B778E4">
        <w:rPr>
          <w:iCs/>
          <w:color w:val="auto"/>
          <w:sz w:val="22"/>
          <w:szCs w:val="22"/>
        </w:rPr>
        <w:t>.</w:t>
      </w:r>
    </w:p>
    <w:p w14:paraId="78EF2D3D" w14:textId="77777777" w:rsidR="008E3C2D" w:rsidRPr="00B778E4" w:rsidRDefault="008E3C2D" w:rsidP="00757807">
      <w:pPr>
        <w:pStyle w:val="Default"/>
        <w:spacing w:line="276" w:lineRule="auto"/>
        <w:jc w:val="both"/>
        <w:rPr>
          <w:iCs/>
          <w:color w:val="auto"/>
          <w:sz w:val="22"/>
          <w:szCs w:val="22"/>
          <w:highlight w:val="yellow"/>
        </w:rPr>
      </w:pPr>
    </w:p>
    <w:p w14:paraId="0AA7713A" w14:textId="77777777" w:rsidR="008E3C2D" w:rsidRPr="00B778E4" w:rsidRDefault="008E3C2D" w:rsidP="008E3C2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ca-ES" w:eastAsia="ca-ES"/>
        </w:rPr>
      </w:pPr>
    </w:p>
    <w:p w14:paraId="54AF7F7B" w14:textId="77777777" w:rsidR="008E3C2D" w:rsidRPr="00B778E4" w:rsidRDefault="008E3C2D" w:rsidP="008E3C2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ca-ES" w:eastAsia="ca-ES"/>
        </w:rPr>
      </w:pPr>
      <w:r w:rsidRPr="00B778E4">
        <w:rPr>
          <w:rFonts w:ascii="Calibri" w:hAnsi="Calibri" w:cs="Calibri"/>
          <w:sz w:val="24"/>
          <w:szCs w:val="24"/>
          <w:lang w:val="ca-ES" w:eastAsia="ca-ES"/>
        </w:rPr>
        <w:t xml:space="preserve"> </w:t>
      </w:r>
      <w:r w:rsidRPr="00B778E4">
        <w:rPr>
          <w:rFonts w:ascii="Arial" w:hAnsi="Arial" w:cs="Arial"/>
          <w:b/>
          <w:sz w:val="22"/>
          <w:lang w:val="ca-ES"/>
        </w:rPr>
        <w:t>2.- Objecte del contracte</w:t>
      </w:r>
      <w:r w:rsidRPr="00B778E4">
        <w:rPr>
          <w:rFonts w:ascii="Calibri" w:hAnsi="Calibri" w:cs="Calibri"/>
          <w:b/>
          <w:bCs/>
          <w:sz w:val="22"/>
          <w:szCs w:val="22"/>
          <w:lang w:val="ca-ES" w:eastAsia="ca-ES"/>
        </w:rPr>
        <w:t xml:space="preserve"> </w:t>
      </w:r>
    </w:p>
    <w:p w14:paraId="6BBA8179" w14:textId="77777777" w:rsidR="008E3C2D" w:rsidRPr="00B778E4" w:rsidRDefault="008E3C2D" w:rsidP="008E3C2D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  <w:szCs w:val="22"/>
          <w:lang w:val="ca-ES" w:eastAsia="ca-ES"/>
        </w:rPr>
      </w:pPr>
    </w:p>
    <w:p w14:paraId="1A261920" w14:textId="39559AF5" w:rsidR="005D3902" w:rsidRDefault="00131EF1" w:rsidP="00742313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  <w:r w:rsidRPr="00131EF1">
        <w:rPr>
          <w:iCs/>
          <w:color w:val="auto"/>
          <w:sz w:val="22"/>
          <w:szCs w:val="22"/>
        </w:rPr>
        <w:t xml:space="preserve">L’objecte d’aquest treball tècnic és assessorar </w:t>
      </w:r>
      <w:r w:rsidR="002A2004">
        <w:rPr>
          <w:iCs/>
          <w:color w:val="auto"/>
          <w:sz w:val="22"/>
          <w:szCs w:val="22"/>
        </w:rPr>
        <w:t xml:space="preserve">a </w:t>
      </w:r>
      <w:r w:rsidRPr="00131EF1">
        <w:rPr>
          <w:iCs/>
          <w:color w:val="auto"/>
          <w:sz w:val="22"/>
          <w:szCs w:val="22"/>
        </w:rPr>
        <w:t>l’ICAEN en matèria de medi ambient, urbanisme i territori, agricultura i sostenibilitat en relació a</w:t>
      </w:r>
      <w:r w:rsidR="002A2004">
        <w:rPr>
          <w:iCs/>
          <w:color w:val="auto"/>
          <w:sz w:val="22"/>
          <w:szCs w:val="22"/>
        </w:rPr>
        <w:t>mb</w:t>
      </w:r>
      <w:r w:rsidRPr="00131EF1">
        <w:rPr>
          <w:iCs/>
          <w:color w:val="auto"/>
          <w:sz w:val="22"/>
          <w:szCs w:val="22"/>
        </w:rPr>
        <w:t xml:space="preserve"> l’elaboració del Pla Territorial Sectorial per a la implantació de les energies renovables a Catalunya (PLATER), assegurar la coordinació amb l’equip encarregat de dur a terme l’avaluació ambiental del PLATER, col·laborar en el procés d’exposició pública associat a l’aprovació del PLATER, en especial en la fase de retorn de les al·legacions i col·laborar en l’elaboració dels documents necessaris per a la tramitació i aprovació del PLATER.</w:t>
      </w:r>
    </w:p>
    <w:p w14:paraId="26F902AB" w14:textId="77777777" w:rsidR="00D764F2" w:rsidRPr="00B778E4" w:rsidRDefault="00D764F2" w:rsidP="00742313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</w:p>
    <w:p w14:paraId="429EB093" w14:textId="77777777" w:rsidR="00B778E4" w:rsidRDefault="00B778E4" w:rsidP="001405F6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  <w:r w:rsidRPr="001405F6">
        <w:rPr>
          <w:iCs/>
          <w:color w:val="auto"/>
          <w:sz w:val="22"/>
          <w:szCs w:val="22"/>
        </w:rPr>
        <w:t>Els objectius específics de les tasques encarregades mitjançant aquesta licitació s’indiquen a continuació:</w:t>
      </w:r>
    </w:p>
    <w:p w14:paraId="1D8DD7E4" w14:textId="77777777" w:rsidR="002A2004" w:rsidRPr="001405F6" w:rsidRDefault="002A2004" w:rsidP="001405F6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</w:p>
    <w:p w14:paraId="5CE8C9F9" w14:textId="6BB12DB8" w:rsidR="00B778E4" w:rsidRPr="00B41A91" w:rsidRDefault="00B778E4" w:rsidP="00B778E4">
      <w:pPr>
        <w:pStyle w:val="Textodenotaalfinal"/>
        <w:numPr>
          <w:ilvl w:val="0"/>
          <w:numId w:val="3"/>
        </w:numPr>
        <w:tabs>
          <w:tab w:val="left" w:pos="-720"/>
        </w:tabs>
        <w:suppressAutoHyphens/>
        <w:spacing w:before="60" w:after="120"/>
        <w:rPr>
          <w:rFonts w:ascii="Arial" w:hAnsi="Arial"/>
          <w:spacing w:val="-3"/>
          <w:sz w:val="22"/>
          <w:szCs w:val="22"/>
          <w:lang w:val="ca-ES"/>
        </w:rPr>
      </w:pPr>
      <w:r w:rsidRPr="00B41A91">
        <w:rPr>
          <w:rFonts w:ascii="Arial" w:hAnsi="Arial"/>
          <w:spacing w:val="-3"/>
          <w:sz w:val="22"/>
          <w:szCs w:val="22"/>
          <w:lang w:val="ca-ES"/>
        </w:rPr>
        <w:t>Assessorament especialitzat en matèria de medi ambient,</w:t>
      </w:r>
      <w:r w:rsidR="00131EF1">
        <w:rPr>
          <w:rFonts w:ascii="Arial" w:hAnsi="Arial"/>
          <w:spacing w:val="-3"/>
          <w:sz w:val="22"/>
          <w:szCs w:val="22"/>
          <w:lang w:val="ca-ES"/>
        </w:rPr>
        <w:t xml:space="preserve"> agricultura,</w:t>
      </w:r>
      <w:r w:rsidRPr="00B41A91">
        <w:rPr>
          <w:rFonts w:ascii="Arial" w:hAnsi="Arial"/>
          <w:spacing w:val="-3"/>
          <w:sz w:val="22"/>
          <w:szCs w:val="22"/>
          <w:lang w:val="ca-ES"/>
        </w:rPr>
        <w:t xml:space="preserve"> urbanisme i territori</w:t>
      </w:r>
      <w:r w:rsidR="00131EF1">
        <w:rPr>
          <w:rFonts w:ascii="Arial" w:hAnsi="Arial"/>
          <w:spacing w:val="-3"/>
          <w:sz w:val="22"/>
          <w:szCs w:val="22"/>
          <w:lang w:val="ca-ES"/>
        </w:rPr>
        <w:t xml:space="preserve">, i </w:t>
      </w:r>
      <w:r w:rsidR="00131EF1">
        <w:rPr>
          <w:rFonts w:ascii="Arial" w:hAnsi="Arial"/>
          <w:spacing w:val="-3"/>
          <w:sz w:val="22"/>
          <w:szCs w:val="22"/>
          <w:lang w:val="ca-ES"/>
        </w:rPr>
        <w:lastRenderedPageBreak/>
        <w:t>sostenibilitat</w:t>
      </w:r>
      <w:r w:rsidR="003B1DC1">
        <w:rPr>
          <w:rFonts w:ascii="Arial" w:hAnsi="Arial"/>
          <w:spacing w:val="-3"/>
          <w:sz w:val="22"/>
          <w:szCs w:val="22"/>
          <w:lang w:val="ca-ES"/>
        </w:rPr>
        <w:t>.</w:t>
      </w:r>
    </w:p>
    <w:p w14:paraId="35AF7D29" w14:textId="08EB641F" w:rsidR="00B778E4" w:rsidRPr="00B41A91" w:rsidRDefault="00B778E4" w:rsidP="00B778E4">
      <w:pPr>
        <w:pStyle w:val="Textodenotaalfinal"/>
        <w:numPr>
          <w:ilvl w:val="0"/>
          <w:numId w:val="3"/>
        </w:numPr>
        <w:tabs>
          <w:tab w:val="left" w:pos="-720"/>
        </w:tabs>
        <w:suppressAutoHyphens/>
        <w:spacing w:before="60" w:after="120"/>
        <w:rPr>
          <w:rFonts w:ascii="Arial" w:hAnsi="Arial"/>
          <w:spacing w:val="-3"/>
          <w:sz w:val="22"/>
          <w:szCs w:val="22"/>
          <w:lang w:val="ca-ES"/>
        </w:rPr>
      </w:pPr>
      <w:r w:rsidRPr="00B41A91">
        <w:rPr>
          <w:rFonts w:ascii="Arial" w:hAnsi="Arial"/>
          <w:spacing w:val="-3"/>
          <w:sz w:val="22"/>
          <w:szCs w:val="22"/>
          <w:lang w:val="ca-ES"/>
        </w:rPr>
        <w:t xml:space="preserve">Coordinació amb </w:t>
      </w:r>
      <w:r w:rsidR="00CC46FC">
        <w:rPr>
          <w:rFonts w:ascii="Arial" w:hAnsi="Arial"/>
          <w:spacing w:val="-3"/>
          <w:sz w:val="22"/>
          <w:szCs w:val="22"/>
          <w:lang w:val="ca-ES"/>
        </w:rPr>
        <w:t>els altres equips especialitzats del PLATER</w:t>
      </w:r>
      <w:r w:rsidR="003B1DC1">
        <w:rPr>
          <w:rFonts w:ascii="Arial" w:hAnsi="Arial"/>
          <w:spacing w:val="-3"/>
          <w:sz w:val="22"/>
          <w:szCs w:val="22"/>
          <w:lang w:val="ca-ES"/>
        </w:rPr>
        <w:t>.</w:t>
      </w:r>
    </w:p>
    <w:p w14:paraId="28615E25" w14:textId="07EC7A6A" w:rsidR="00B778E4" w:rsidRPr="00B778E4" w:rsidRDefault="00B778E4" w:rsidP="00B778E4">
      <w:pPr>
        <w:pStyle w:val="Textodenotaalfinal"/>
        <w:numPr>
          <w:ilvl w:val="0"/>
          <w:numId w:val="3"/>
        </w:numPr>
        <w:tabs>
          <w:tab w:val="left" w:pos="-720"/>
        </w:tabs>
        <w:suppressAutoHyphens/>
        <w:spacing w:before="60" w:after="120"/>
        <w:rPr>
          <w:rFonts w:ascii="Arial" w:hAnsi="Arial"/>
          <w:color w:val="FF0000"/>
          <w:spacing w:val="-3"/>
          <w:sz w:val="22"/>
          <w:szCs w:val="22"/>
          <w:lang w:val="ca-ES"/>
        </w:rPr>
      </w:pPr>
      <w:r w:rsidRPr="00B41A91">
        <w:rPr>
          <w:rFonts w:ascii="Arial" w:hAnsi="Arial"/>
          <w:spacing w:val="-3"/>
          <w:sz w:val="22"/>
          <w:szCs w:val="22"/>
          <w:lang w:val="ca-ES"/>
        </w:rPr>
        <w:t xml:space="preserve">Col·laboració en el procés </w:t>
      </w:r>
      <w:r w:rsidR="00CC46FC">
        <w:rPr>
          <w:rFonts w:ascii="Arial" w:hAnsi="Arial"/>
          <w:spacing w:val="-3"/>
          <w:sz w:val="22"/>
          <w:szCs w:val="22"/>
          <w:lang w:val="ca-ES"/>
        </w:rPr>
        <w:t>d’informació pública del</w:t>
      </w:r>
      <w:r w:rsidRPr="00B41A91">
        <w:rPr>
          <w:rFonts w:ascii="Arial" w:hAnsi="Arial"/>
          <w:spacing w:val="-3"/>
          <w:sz w:val="22"/>
          <w:szCs w:val="22"/>
          <w:lang w:val="ca-ES"/>
        </w:rPr>
        <w:t xml:space="preserve"> PLATER</w:t>
      </w:r>
      <w:r w:rsidR="003B1DC1">
        <w:rPr>
          <w:rFonts w:ascii="Arial" w:hAnsi="Arial"/>
          <w:spacing w:val="-3"/>
          <w:sz w:val="22"/>
          <w:szCs w:val="22"/>
          <w:lang w:val="ca-ES"/>
        </w:rPr>
        <w:t>.</w:t>
      </w:r>
    </w:p>
    <w:p w14:paraId="3A657986" w14:textId="5A546D6A" w:rsidR="008E3C2D" w:rsidRPr="00B778E4" w:rsidRDefault="00B778E4" w:rsidP="00B778E4">
      <w:pPr>
        <w:pStyle w:val="Textodenotaalfinal"/>
        <w:numPr>
          <w:ilvl w:val="0"/>
          <w:numId w:val="3"/>
        </w:numPr>
        <w:tabs>
          <w:tab w:val="left" w:pos="-720"/>
        </w:tabs>
        <w:suppressAutoHyphens/>
        <w:spacing w:before="60" w:after="120"/>
        <w:rPr>
          <w:rFonts w:ascii="Arial" w:hAnsi="Arial"/>
          <w:color w:val="FF0000"/>
          <w:spacing w:val="-3"/>
          <w:sz w:val="22"/>
          <w:szCs w:val="22"/>
          <w:lang w:val="ca-ES"/>
        </w:rPr>
      </w:pPr>
      <w:r w:rsidRPr="00B778E4">
        <w:rPr>
          <w:rFonts w:ascii="Arial" w:hAnsi="Arial"/>
          <w:spacing w:val="-3"/>
          <w:sz w:val="22"/>
          <w:szCs w:val="22"/>
          <w:lang w:val="ca-ES"/>
        </w:rPr>
        <w:t xml:space="preserve">Col·laboració en la redacció dels documents necessaris per a la tramitació </w:t>
      </w:r>
      <w:r w:rsidR="00131EF1">
        <w:rPr>
          <w:rFonts w:ascii="Arial" w:hAnsi="Arial"/>
          <w:spacing w:val="-3"/>
          <w:sz w:val="22"/>
          <w:szCs w:val="22"/>
          <w:lang w:val="ca-ES"/>
        </w:rPr>
        <w:t xml:space="preserve">i aprovació </w:t>
      </w:r>
      <w:r w:rsidRPr="00B778E4">
        <w:rPr>
          <w:rFonts w:ascii="Arial" w:hAnsi="Arial"/>
          <w:spacing w:val="-3"/>
          <w:sz w:val="22"/>
          <w:szCs w:val="22"/>
          <w:lang w:val="ca-ES"/>
        </w:rPr>
        <w:t>del PLATER</w:t>
      </w:r>
      <w:r w:rsidR="003B1DC1">
        <w:rPr>
          <w:rFonts w:ascii="Arial" w:hAnsi="Arial"/>
          <w:spacing w:val="-3"/>
          <w:sz w:val="22"/>
          <w:szCs w:val="22"/>
          <w:lang w:val="ca-ES"/>
        </w:rPr>
        <w:t>.</w:t>
      </w:r>
    </w:p>
    <w:p w14:paraId="61F3D97A" w14:textId="77777777" w:rsidR="0025204E" w:rsidRDefault="0025204E" w:rsidP="00742313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</w:p>
    <w:p w14:paraId="62EB0851" w14:textId="77777777" w:rsidR="008E3C2D" w:rsidRPr="00B778E4" w:rsidRDefault="008E3C2D" w:rsidP="00742313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  <w:r w:rsidRPr="00B778E4">
        <w:rPr>
          <w:iCs/>
          <w:color w:val="auto"/>
          <w:sz w:val="22"/>
          <w:szCs w:val="22"/>
        </w:rPr>
        <w:t>Els treballs es</w:t>
      </w:r>
      <w:r w:rsidR="0025204E">
        <w:rPr>
          <w:iCs/>
          <w:color w:val="auto"/>
          <w:sz w:val="22"/>
          <w:szCs w:val="22"/>
        </w:rPr>
        <w:t xml:space="preserve"> realitzaran conforme el plec de clàusules tècniques </w:t>
      </w:r>
      <w:r w:rsidRPr="00B778E4">
        <w:rPr>
          <w:iCs/>
          <w:color w:val="auto"/>
          <w:sz w:val="22"/>
          <w:szCs w:val="22"/>
        </w:rPr>
        <w:t>aprovat per l’ICAEN.</w:t>
      </w:r>
    </w:p>
    <w:p w14:paraId="6DAAF3F3" w14:textId="77777777" w:rsidR="004F0DE8" w:rsidRPr="00B778E4" w:rsidRDefault="004F0DE8" w:rsidP="00742313">
      <w:pPr>
        <w:pStyle w:val="Default"/>
        <w:spacing w:line="276" w:lineRule="auto"/>
        <w:jc w:val="both"/>
        <w:rPr>
          <w:iCs/>
          <w:color w:val="FF0000"/>
          <w:sz w:val="22"/>
          <w:szCs w:val="22"/>
        </w:rPr>
      </w:pPr>
    </w:p>
    <w:p w14:paraId="525D9A07" w14:textId="77777777" w:rsidR="008E3C2D" w:rsidRPr="007A5C6F" w:rsidRDefault="008E3C2D" w:rsidP="00742313">
      <w:pPr>
        <w:pStyle w:val="Default"/>
        <w:spacing w:line="276" w:lineRule="auto"/>
        <w:jc w:val="both"/>
        <w:rPr>
          <w:iCs/>
          <w:color w:val="auto"/>
          <w:sz w:val="22"/>
          <w:szCs w:val="22"/>
        </w:rPr>
      </w:pPr>
    </w:p>
    <w:p w14:paraId="6BEAD5FB" w14:textId="77777777" w:rsidR="008E3C2D" w:rsidRPr="007A5C6F" w:rsidRDefault="008E3C2D" w:rsidP="008E3C2D">
      <w:pPr>
        <w:pStyle w:val="Default"/>
        <w:spacing w:line="276" w:lineRule="auto"/>
        <w:jc w:val="both"/>
        <w:rPr>
          <w:b/>
          <w:iCs/>
          <w:color w:val="auto"/>
          <w:sz w:val="22"/>
          <w:szCs w:val="22"/>
        </w:rPr>
      </w:pPr>
      <w:r w:rsidRPr="007A5C6F">
        <w:rPr>
          <w:b/>
          <w:iCs/>
          <w:color w:val="auto"/>
          <w:sz w:val="22"/>
          <w:szCs w:val="22"/>
        </w:rPr>
        <w:t>3.- Antecedents</w:t>
      </w:r>
    </w:p>
    <w:p w14:paraId="2B1FFD6A" w14:textId="77777777" w:rsidR="008E3C2D" w:rsidRPr="00B778E4" w:rsidRDefault="008E3C2D" w:rsidP="00585768">
      <w:pPr>
        <w:pStyle w:val="Default"/>
        <w:spacing w:line="276" w:lineRule="auto"/>
        <w:jc w:val="both"/>
        <w:rPr>
          <w:iCs/>
          <w:color w:val="FF0000"/>
          <w:sz w:val="22"/>
          <w:szCs w:val="22"/>
          <w:highlight w:val="yellow"/>
        </w:rPr>
      </w:pPr>
    </w:p>
    <w:p w14:paraId="00514438" w14:textId="77777777" w:rsid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131EF1">
        <w:rPr>
          <w:rFonts w:ascii="Arial" w:eastAsiaTheme="minorHAnsi" w:hAnsi="Arial" w:cs="Arial"/>
          <w:iCs/>
          <w:sz w:val="22"/>
          <w:szCs w:val="22"/>
          <w:lang w:val="ca-ES" w:eastAsia="en-US"/>
        </w:rPr>
        <w:t>En els darrers anys, Catalunya ha desenvolupat les bases del Pacte Nacional per a la Transició Energètica de Catalunya (PNTEC), la Llei 16/2017, de l’1 d’agost, del canvi climàtic, i la Prospectiva Energètica de Catalunya 2050 (PROENCAT 2050), que estableixen els trets fonamentals de la transició energètica de Catalunya, que té com a objectiu la descarbonització del sistema energètic de Catalunya mitjançant un nou sistema energètic eficient i basat en les energies renovables.</w:t>
      </w:r>
    </w:p>
    <w:p w14:paraId="147E187B" w14:textId="77777777" w:rsidR="00131EF1" w:rsidRP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48B2C0BB" w14:textId="77777777" w:rsid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131EF1">
        <w:rPr>
          <w:rFonts w:ascii="Arial" w:eastAsiaTheme="minorHAnsi" w:hAnsi="Arial" w:cs="Arial"/>
          <w:iCs/>
          <w:sz w:val="22"/>
          <w:szCs w:val="22"/>
          <w:lang w:val="ca-ES" w:eastAsia="en-US"/>
        </w:rPr>
        <w:t xml:space="preserve">Catalunya fa una aposta clara per un model energètic renovable basat en recursos autòctons a l’horitzó de l’any 2050. En aquest escenari, basat en l’equilibri l’oferta i la demanda d’energia elèctrica a nivell de Catalunya i amb una producció d’energia elèctrica exclusivament d’origen renovable (fonamentalment d’energia eòlica i solar fotovoltaica), caldrà maximitzar la generació d’energia elèctrica a les teulades dels edificis (mitjançant l’autoconsum individual i col·lectiu) i altres espais </w:t>
      </w:r>
      <w:proofErr w:type="spellStart"/>
      <w:r w:rsidRPr="00131EF1">
        <w:rPr>
          <w:rFonts w:ascii="Arial" w:eastAsiaTheme="minorHAnsi" w:hAnsi="Arial" w:cs="Arial"/>
          <w:iCs/>
          <w:sz w:val="22"/>
          <w:szCs w:val="22"/>
          <w:lang w:val="ca-ES" w:eastAsia="en-US"/>
        </w:rPr>
        <w:t>artificialitzats</w:t>
      </w:r>
      <w:proofErr w:type="spellEnd"/>
      <w:r w:rsidRPr="00131EF1">
        <w:rPr>
          <w:rFonts w:ascii="Arial" w:eastAsiaTheme="minorHAnsi" w:hAnsi="Arial" w:cs="Arial"/>
          <w:iCs/>
          <w:sz w:val="22"/>
          <w:szCs w:val="22"/>
          <w:lang w:val="ca-ES" w:eastAsia="en-US"/>
        </w:rPr>
        <w:t>, però també es requerirà la implantació d’un gran nombre d’instal·lacions de generació d’energies renovables a terra, amb una conseqüent i significativa ocupació del sòl, juntament amb les xarxes de transport i distribució corresponents.</w:t>
      </w:r>
    </w:p>
    <w:p w14:paraId="2AB42DBE" w14:textId="77777777" w:rsidR="00131EF1" w:rsidRP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0C989C1B" w14:textId="77777777" w:rsid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131EF1">
        <w:rPr>
          <w:rFonts w:ascii="Arial" w:eastAsiaTheme="minorHAnsi" w:hAnsi="Arial" w:cs="Arial"/>
          <w:iCs/>
          <w:sz w:val="22"/>
          <w:szCs w:val="22"/>
          <w:lang w:val="ca-ES" w:eastAsia="en-US"/>
        </w:rPr>
        <w:t>Per tal de complir amb aquest gran repte de futur i basant-se en el que determina la Directiva (UE) 2023/2413 del Parlament Europeu i del Consell, de 18 d'octubre de 2023, per la qual es modifiquen la Directiva (UE) 2018/2001, el Reglament (UE) 2018/1999 i la Directiva 98/70/CE pel que fa a la promoció de l'energia procedent de fonts renovables i es deroga la Directiva (UE) 2015/652 del Consell, també anomenada DER III, el Govern de la Generalitat de Catalunya va aprovar a principis de maig de 2022 l’elaboració d’un Pla Territorial Sectorial per a la planificació i implantació de les energies renovables a Catalunya (PLATER), fonamentalment eòlica terrestre i solar fotovoltaica, necessàries per a desenvolupar la transició energètica a Catalunya i complir amb els objectius de la Llei del canvi climàtic en matèria d’energia.</w:t>
      </w:r>
    </w:p>
    <w:p w14:paraId="36F0FE4B" w14:textId="77777777" w:rsidR="00131EF1" w:rsidRP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55A97553" w14:textId="77777777" w:rsid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131EF1">
        <w:rPr>
          <w:rFonts w:ascii="Arial" w:eastAsiaTheme="minorHAnsi" w:hAnsi="Arial" w:cs="Arial"/>
          <w:iCs/>
          <w:sz w:val="22"/>
          <w:szCs w:val="22"/>
          <w:lang w:val="ca-ES" w:eastAsia="en-US"/>
        </w:rPr>
        <w:t>El PLATER ha de permetre la instal·lació del contingent renovable necessari per fer efectiva la transició energètica i la neutralitat climàtica a Catalunya. La seva elaboració tindrà en compte tots els àmbits que poden ser afectats pel Pla, com ara els aspectes energètics, mediambientals, culturals, paisatgístics, socials, econòmics, de desenvolupament industrial o de sobirania alimentària, entre d’altres, per cercar un equilibri entre ells.</w:t>
      </w:r>
    </w:p>
    <w:p w14:paraId="12F894B5" w14:textId="77777777" w:rsidR="00131EF1" w:rsidRP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6106CFDC" w14:textId="77777777" w:rsidR="00131EF1" w:rsidRPr="00131EF1" w:rsidRDefault="00131EF1" w:rsidP="00131EF1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131EF1">
        <w:rPr>
          <w:rFonts w:ascii="Arial" w:eastAsiaTheme="minorHAnsi" w:hAnsi="Arial" w:cs="Arial"/>
          <w:iCs/>
          <w:sz w:val="22"/>
          <w:szCs w:val="22"/>
          <w:lang w:val="ca-ES" w:eastAsia="en-US"/>
        </w:rPr>
        <w:t xml:space="preserve">Aquest Pla Territorial Sectorial determinarà la distribució arreu del territori de les instal·lacions d’aprofitament de les energies renovables necessàries per a fer efectiva la transició energètica a </w:t>
      </w:r>
      <w:r w:rsidRPr="00131EF1">
        <w:rPr>
          <w:rFonts w:ascii="Arial" w:eastAsiaTheme="minorHAnsi" w:hAnsi="Arial" w:cs="Arial"/>
          <w:iCs/>
          <w:sz w:val="22"/>
          <w:szCs w:val="22"/>
          <w:lang w:val="ca-ES" w:eastAsia="en-US"/>
        </w:rPr>
        <w:lastRenderedPageBreak/>
        <w:t>Catalunya, fixarà les mesures, recomanacions i disposicions reglamentaries i normatives necessàries per a dur a terme aquesta implantació d’energia renovable en el territori incorporant la perspectiva de la cohesió territorial i de la participació local i ciutadana.</w:t>
      </w:r>
    </w:p>
    <w:p w14:paraId="3CE13993" w14:textId="77777777" w:rsidR="008D0EBD" w:rsidRDefault="008D0EBD" w:rsidP="00894767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276A90B3" w14:textId="77777777" w:rsidR="008D0EBD" w:rsidRDefault="008D0EBD" w:rsidP="008D0EB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8D0EBD">
        <w:rPr>
          <w:rFonts w:ascii="Arial" w:eastAsiaTheme="minorHAnsi" w:hAnsi="Arial" w:cs="Arial"/>
          <w:iCs/>
          <w:sz w:val="22"/>
          <w:szCs w:val="22"/>
          <w:lang w:val="ca-ES" w:eastAsia="en-US"/>
        </w:rPr>
        <w:t>En l’elaboració del PLATER també hi intervindran experts en diferents àmbits relacionats (impacte ambiental, ordenació territorial, assessoria legal en ordenació del territori i urbanisme, experts en sistemes d’informació geogràfica). L’ICAEN, com a organisme promotor del PLATER, ha de ser capaç de coordinar i assegurar la homogeneïtat dels treballs que es duran a terme i que impliquen tenir coneixements dels àmbits de l’ecologia, el medi ambient, l’ordenació del territori i l’urbanisme.</w:t>
      </w:r>
    </w:p>
    <w:p w14:paraId="3E3DE3C4" w14:textId="77777777" w:rsidR="0025204E" w:rsidRPr="008D0EBD" w:rsidRDefault="0025204E" w:rsidP="008D0EB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6757ADA4" w14:textId="77777777" w:rsidR="003F031E" w:rsidRPr="00B778E4" w:rsidRDefault="003F031E" w:rsidP="003F031E">
      <w:pPr>
        <w:spacing w:line="276" w:lineRule="auto"/>
        <w:jc w:val="both"/>
        <w:rPr>
          <w:rFonts w:ascii="Arial" w:eastAsia="Myriad Pro" w:hAnsi="Arial" w:cs="Arial"/>
          <w:color w:val="FF0000"/>
          <w:sz w:val="22"/>
          <w:szCs w:val="22"/>
          <w:highlight w:val="yellow"/>
          <w:lang w:val="ca-ES"/>
        </w:rPr>
      </w:pPr>
    </w:p>
    <w:p w14:paraId="29AD6BCF" w14:textId="77777777" w:rsidR="008E3C2D" w:rsidRPr="008D0EBD" w:rsidRDefault="008E3C2D" w:rsidP="008E3C2D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</w:pPr>
      <w:r w:rsidRPr="008D0EBD"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  <w:t xml:space="preserve">4.- Procediment de licitació </w:t>
      </w:r>
    </w:p>
    <w:p w14:paraId="7D0DA802" w14:textId="77777777" w:rsidR="000613A9" w:rsidRPr="008D0EBD" w:rsidRDefault="000613A9" w:rsidP="008E3C2D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</w:pPr>
    </w:p>
    <w:p w14:paraId="0FF33D54" w14:textId="77777777" w:rsidR="008E3C2D" w:rsidRPr="00B778E4" w:rsidRDefault="008E3C2D" w:rsidP="008E3C2D">
      <w:pPr>
        <w:spacing w:line="276" w:lineRule="auto"/>
        <w:jc w:val="both"/>
        <w:rPr>
          <w:rFonts w:ascii="Arial" w:eastAsiaTheme="minorHAnsi" w:hAnsi="Arial" w:cs="Arial"/>
          <w:iCs/>
          <w:color w:val="FF0000"/>
          <w:sz w:val="22"/>
          <w:szCs w:val="22"/>
          <w:lang w:val="ca-ES" w:eastAsia="en-US"/>
        </w:rPr>
      </w:pPr>
      <w:r w:rsidRPr="008D0EBD">
        <w:rPr>
          <w:rFonts w:ascii="Arial" w:eastAsiaTheme="minorHAnsi" w:hAnsi="Arial" w:cs="Arial"/>
          <w:iCs/>
          <w:sz w:val="22"/>
          <w:szCs w:val="22"/>
          <w:lang w:val="ca-ES" w:eastAsia="en-US"/>
        </w:rPr>
        <w:t>D’acord amb els articles 117, 131.2, 156, 157 i 158 de la Llei 9/2017, de 8 de novembre, de Contractes del Sector Públic, per la que es transposen a l’ordenament jurídic espanyol les Directives del Parlament Europeu i del Consell 2014/23UE i 2014/24/UE, de</w:t>
      </w:r>
      <w:r w:rsidR="00742313" w:rsidRPr="008D0EBD">
        <w:rPr>
          <w:rFonts w:ascii="Arial" w:eastAsiaTheme="minorHAnsi" w:hAnsi="Arial" w:cs="Arial"/>
          <w:iCs/>
          <w:sz w:val="22"/>
          <w:szCs w:val="22"/>
          <w:lang w:val="ca-ES" w:eastAsia="en-US"/>
        </w:rPr>
        <w:t xml:space="preserve"> 26 de febrer de 2014</w:t>
      </w:r>
      <w:r w:rsidR="00742313" w:rsidRPr="00B778E4">
        <w:rPr>
          <w:rFonts w:ascii="Arial" w:eastAsiaTheme="minorHAnsi" w:hAnsi="Arial" w:cs="Arial"/>
          <w:iCs/>
          <w:color w:val="FF0000"/>
          <w:sz w:val="22"/>
          <w:szCs w:val="22"/>
          <w:lang w:val="ca-ES" w:eastAsia="en-US"/>
        </w:rPr>
        <w:t>.</w:t>
      </w:r>
    </w:p>
    <w:p w14:paraId="018488E0" w14:textId="77777777" w:rsidR="00742313" w:rsidRPr="00B778E4" w:rsidRDefault="00742313" w:rsidP="008E3C2D">
      <w:pPr>
        <w:spacing w:line="276" w:lineRule="auto"/>
        <w:jc w:val="both"/>
        <w:rPr>
          <w:rFonts w:ascii="Arial" w:eastAsiaTheme="minorHAnsi" w:hAnsi="Arial" w:cs="Arial"/>
          <w:iCs/>
          <w:color w:val="FF0000"/>
          <w:sz w:val="22"/>
          <w:szCs w:val="22"/>
          <w:lang w:val="ca-ES" w:eastAsia="en-US"/>
        </w:rPr>
      </w:pPr>
    </w:p>
    <w:p w14:paraId="5483A62E" w14:textId="77777777" w:rsidR="008E3C2D" w:rsidRPr="00B778E4" w:rsidRDefault="008E3C2D" w:rsidP="008E3C2D">
      <w:pPr>
        <w:spacing w:line="276" w:lineRule="auto"/>
        <w:jc w:val="both"/>
        <w:rPr>
          <w:rFonts w:ascii="Arial" w:eastAsiaTheme="minorHAnsi" w:hAnsi="Arial" w:cs="Arial"/>
          <w:iCs/>
          <w:color w:val="FF0000"/>
          <w:sz w:val="22"/>
          <w:szCs w:val="22"/>
          <w:lang w:val="ca-ES" w:eastAsia="en-US"/>
        </w:rPr>
      </w:pPr>
    </w:p>
    <w:p w14:paraId="598B2461" w14:textId="77777777" w:rsidR="008E3C2D" w:rsidRPr="008D0EBD" w:rsidRDefault="008E3C2D" w:rsidP="008E3C2D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</w:pPr>
      <w:r w:rsidRPr="008D0EBD"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  <w:t>5.- Classificació i criteris de solvència tècnica o professional i econòmica</w:t>
      </w:r>
      <w:r w:rsidRPr="008D0EBD">
        <w:rPr>
          <w:rFonts w:ascii="Arial" w:eastAsiaTheme="minorHAnsi" w:hAnsi="Arial" w:cs="Arial"/>
          <w:iCs/>
          <w:sz w:val="22"/>
          <w:szCs w:val="22"/>
          <w:lang w:val="ca-ES" w:eastAsia="en-US"/>
        </w:rPr>
        <w:t xml:space="preserve"> </w:t>
      </w:r>
      <w:r w:rsidRPr="008D0EBD"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  <w:t xml:space="preserve">financera </w:t>
      </w:r>
    </w:p>
    <w:p w14:paraId="49FF713C" w14:textId="77777777" w:rsidR="000613A9" w:rsidRPr="008D0EBD" w:rsidRDefault="000613A9" w:rsidP="008E3C2D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</w:pPr>
    </w:p>
    <w:p w14:paraId="67A7D606" w14:textId="77777777" w:rsidR="008E3C2D" w:rsidRPr="008D0EBD" w:rsidRDefault="008E3C2D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8D0EBD">
        <w:rPr>
          <w:rFonts w:ascii="Arial" w:eastAsiaTheme="minorHAnsi" w:hAnsi="Arial" w:cs="Arial"/>
          <w:iCs/>
          <w:sz w:val="22"/>
          <w:szCs w:val="22"/>
          <w:lang w:val="ca-ES" w:eastAsia="en-US"/>
        </w:rPr>
        <w:t>No existeix cap circumstància que faci recomanable fixar uns criteris de solvència superiors als mínims fixats a la llei de la forma com estan concretats als plecs tipu</w:t>
      </w:r>
      <w:r w:rsidR="00284BB4">
        <w:rPr>
          <w:rFonts w:ascii="Arial" w:eastAsiaTheme="minorHAnsi" w:hAnsi="Arial" w:cs="Arial"/>
          <w:iCs/>
          <w:sz w:val="22"/>
          <w:szCs w:val="22"/>
          <w:lang w:val="ca-ES" w:eastAsia="en-US"/>
        </w:rPr>
        <w:t>s de clàusules administratives.</w:t>
      </w:r>
    </w:p>
    <w:p w14:paraId="2CCA8C1B" w14:textId="77777777" w:rsidR="008E3C2D" w:rsidRPr="00B778E4" w:rsidRDefault="008E3C2D" w:rsidP="008E3C2D">
      <w:pPr>
        <w:spacing w:line="276" w:lineRule="auto"/>
        <w:jc w:val="both"/>
        <w:rPr>
          <w:rFonts w:ascii="Arial" w:eastAsiaTheme="minorHAnsi" w:hAnsi="Arial" w:cs="Arial"/>
          <w:iCs/>
          <w:color w:val="FF0000"/>
          <w:sz w:val="22"/>
          <w:szCs w:val="22"/>
          <w:lang w:val="ca-ES" w:eastAsia="en-US"/>
        </w:rPr>
      </w:pPr>
    </w:p>
    <w:p w14:paraId="716DBF2C" w14:textId="77777777" w:rsidR="000613A9" w:rsidRPr="008D0EBD" w:rsidRDefault="000613A9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1A4BF33F" w14:textId="77777777" w:rsidR="008E3C2D" w:rsidRPr="008D0EBD" w:rsidRDefault="008E3C2D" w:rsidP="008E3C2D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</w:pPr>
      <w:r w:rsidRPr="008D0EBD"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  <w:t xml:space="preserve">6.- Criteris de valoració </w:t>
      </w:r>
    </w:p>
    <w:p w14:paraId="6EBF7FE4" w14:textId="77777777" w:rsidR="000613A9" w:rsidRPr="008D0EBD" w:rsidRDefault="000613A9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70F7166A" w14:textId="77777777" w:rsidR="00176BF8" w:rsidRPr="00176BF8" w:rsidRDefault="00176BF8" w:rsidP="00176BF8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176BF8">
        <w:rPr>
          <w:rFonts w:ascii="Arial" w:eastAsiaTheme="minorHAnsi" w:hAnsi="Arial" w:cs="Arial"/>
          <w:iCs/>
          <w:sz w:val="22"/>
          <w:szCs w:val="22"/>
          <w:lang w:val="ca-ES" w:eastAsia="en-US"/>
        </w:rPr>
        <w:t>Atesa la naturalesa del contracte, que té per objecte la prestació de serveis de caràcter intel·lectual, s’han establert criteris de valoració subjectiva i criteris de ponderació automàtica. En aplicació de l’article 145.4 de la LCSP, els criteris relacionats amb la qualitat representen el 51 % de la puntuació total.</w:t>
      </w:r>
    </w:p>
    <w:p w14:paraId="5223C476" w14:textId="77777777" w:rsidR="00176BF8" w:rsidRPr="00176BF8" w:rsidRDefault="00176BF8" w:rsidP="00176BF8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0F23D7F0" w14:textId="20C990A4" w:rsidR="00742313" w:rsidRDefault="00176BF8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176BF8">
        <w:rPr>
          <w:rFonts w:ascii="Arial" w:eastAsiaTheme="minorHAnsi" w:hAnsi="Arial" w:cs="Arial"/>
          <w:iCs/>
          <w:sz w:val="22"/>
          <w:szCs w:val="22"/>
          <w:lang w:val="ca-ES" w:eastAsia="en-US"/>
        </w:rPr>
        <w:t>Entre aquests criteris qualitatius s’inclou l’expertesa específica de les persones que integren l’equip de treball, ja que la qualitat de l’execució del contracte depèn directament dels coneixements i l’experiència dels perfils adscrits, permetent valorar adequadament la qualitat intel·lectual de l’oferta i garantir una millor relació qualitat-preu.</w:t>
      </w:r>
    </w:p>
    <w:p w14:paraId="078704B0" w14:textId="77777777" w:rsidR="00B26F13" w:rsidRDefault="00B26F13" w:rsidP="00B26F13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>
        <w:rPr>
          <w:rFonts w:ascii="Arial" w:eastAsiaTheme="minorHAnsi" w:hAnsi="Arial" w:cs="Arial"/>
          <w:iCs/>
          <w:sz w:val="22"/>
          <w:szCs w:val="22"/>
          <w:lang w:val="ca-ES" w:eastAsia="en-US"/>
        </w:rPr>
        <w:t>En referència en la valoració de l’oferta econòmica, cal puntualitzar que en la fórmula:</w:t>
      </w:r>
    </w:p>
    <w:p w14:paraId="61CB9845" w14:textId="77777777" w:rsidR="00B26F13" w:rsidRDefault="00B26F13" w:rsidP="00B26F13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5A9D8214" w14:textId="77777777" w:rsidR="00B26F13" w:rsidRPr="00AA5321" w:rsidRDefault="00B26F13" w:rsidP="00B26F13">
      <w:pPr>
        <w:spacing w:line="276" w:lineRule="auto"/>
        <w:jc w:val="both"/>
        <w:rPr>
          <w:rFonts w:ascii="Arial" w:eastAsiaTheme="minorEastAsia" w:hAnsi="Arial" w:cs="Arial"/>
          <w:iCs/>
          <w:sz w:val="22"/>
          <w:szCs w:val="22"/>
          <w:lang w:val="ca-ES" w:eastAsia="en-US"/>
        </w:rPr>
      </w:pPr>
      <w:r>
        <w:rPr>
          <w:rFonts w:ascii="Arial" w:eastAsiaTheme="minorHAnsi" w:hAnsi="Arial" w:cs="Arial"/>
          <w:iCs/>
          <w:sz w:val="22"/>
          <w:szCs w:val="22"/>
          <w:lang w:val="ca-ES" w:eastAsia="en-US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 w:cs="Arial"/>
            <w:kern w:val="2"/>
            <w:sz w:val="22"/>
            <w:szCs w:val="22"/>
            <w:lang w:val="ca-ES" w:eastAsia="zh-CN" w:bidi="hi-IN"/>
          </w:rPr>
          <w:br/>
        </m:r>
      </m:oMath>
      <m:oMathPara>
        <m:oMath>
          <m:sSub>
            <m:sSubPr>
              <m:ctrlPr>
                <w:rPr>
                  <w:rFonts w:ascii="Cambria Math" w:eastAsiaTheme="minorHAnsi" w:hAnsi="Cambria Math" w:cs="Arial"/>
                  <w:i/>
                  <w:iCs/>
                  <w:sz w:val="22"/>
                  <w:szCs w:val="22"/>
                  <w:lang w:val="ca-ES" w:eastAsia="en-US"/>
                </w:rPr>
              </m:ctrlPr>
            </m:sSubPr>
            <m:e>
              <m:r>
                <w:rPr>
                  <w:rFonts w:ascii="Cambria Math" w:eastAsiaTheme="minorHAnsi" w:hAnsi="Cambria Math" w:cs="Arial"/>
                  <w:sz w:val="22"/>
                  <w:szCs w:val="22"/>
                  <w:lang w:val="ca-ES" w:eastAsia="en-US"/>
                </w:rPr>
                <m:t>P</m:t>
              </m:r>
            </m:e>
            <m:sub>
              <m:r>
                <w:rPr>
                  <w:rFonts w:ascii="Cambria Math" w:eastAsiaTheme="minorHAnsi" w:hAnsi="Cambria Math" w:cs="Arial"/>
                  <w:sz w:val="22"/>
                  <w:szCs w:val="22"/>
                  <w:lang w:val="ca-ES" w:eastAsia="en-US"/>
                </w:rPr>
                <m:t>v</m:t>
              </m:r>
            </m:sub>
          </m:sSub>
          <m:r>
            <w:rPr>
              <w:rFonts w:ascii="Cambria Math" w:eastAsiaTheme="minorHAnsi" w:hAnsi="Cambria Math" w:cs="Arial"/>
              <w:sz w:val="22"/>
              <w:szCs w:val="22"/>
              <w:lang w:val="ca-ES" w:eastAsia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Arial"/>
                  <w:i/>
                  <w:iCs/>
                  <w:sz w:val="22"/>
                  <w:szCs w:val="22"/>
                  <w:lang w:val="ca-ES" w:eastAsia="en-US"/>
                </w:rPr>
              </m:ctrlPr>
            </m:dPr>
            <m:e>
              <m:r>
                <w:rPr>
                  <w:rFonts w:ascii="Cambria Math" w:eastAsiaTheme="minorHAnsi" w:hAnsi="Cambria Math" w:cs="Arial"/>
                  <w:sz w:val="22"/>
                  <w:szCs w:val="22"/>
                  <w:lang w:val="ca-ES" w:eastAsia="en-US"/>
                </w:rPr>
                <m:t>1-</m:t>
              </m:r>
              <m:d>
                <m:dPr>
                  <m:ctrlPr>
                    <w:rPr>
                      <w:rFonts w:ascii="Cambria Math" w:eastAsiaTheme="minorHAnsi" w:hAnsi="Cambria Math" w:cs="Arial"/>
                      <w:i/>
                      <w:iCs/>
                      <w:sz w:val="22"/>
                      <w:szCs w:val="22"/>
                      <w:lang w:val="ca-ES"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Arial"/>
                          <w:i/>
                          <w:iCs/>
                          <w:sz w:val="22"/>
                          <w:szCs w:val="22"/>
                          <w:lang w:val="ca-ES" w:eastAsia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Cambria Math" w:cs="Arial"/>
                              <w:i/>
                              <w:iCs/>
                              <w:sz w:val="22"/>
                              <w:szCs w:val="22"/>
                              <w:lang w:val="ca-E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Cambria Math" w:cs="Arial"/>
                              <w:sz w:val="22"/>
                              <w:szCs w:val="22"/>
                              <w:lang w:val="ca-ES" w:eastAsia="en-US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eastAsiaTheme="minorHAnsi" w:hAnsi="Cambria Math" w:cs="Arial"/>
                              <w:sz w:val="22"/>
                              <w:szCs w:val="22"/>
                              <w:lang w:val="ca-ES" w:eastAsia="en-US"/>
                            </w:rPr>
                            <m:t>v</m:t>
                          </m:r>
                        </m:sub>
                      </m:sSub>
                      <m:r>
                        <w:rPr>
                          <w:rFonts w:ascii="Cambria Math" w:eastAsiaTheme="minorHAnsi" w:hAnsi="Cambria Math" w:cs="Arial"/>
                          <w:sz w:val="22"/>
                          <w:szCs w:val="22"/>
                          <w:lang w:val="ca-ES"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HAnsi" w:hAnsi="Cambria Math" w:cs="Arial"/>
                              <w:i/>
                              <w:iCs/>
                              <w:sz w:val="22"/>
                              <w:szCs w:val="22"/>
                              <w:lang w:val="ca-E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Cambria Math" w:cs="Arial"/>
                              <w:sz w:val="22"/>
                              <w:szCs w:val="22"/>
                              <w:lang w:val="ca-ES" w:eastAsia="en-US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eastAsiaTheme="minorHAnsi" w:hAnsi="Cambria Math" w:cs="Arial"/>
                              <w:sz w:val="22"/>
                              <w:szCs w:val="22"/>
                              <w:lang w:val="ca-ES" w:eastAsia="en-US"/>
                            </w:rPr>
                            <m:t>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HAnsi" w:hAnsi="Cambria Math" w:cs="Arial"/>
                          <w:sz w:val="22"/>
                          <w:szCs w:val="22"/>
                          <w:lang w:val="ca-ES" w:eastAsia="en-US"/>
                        </w:rPr>
                        <m:t>IL</m:t>
                      </m:r>
                    </m:den>
                  </m:f>
                </m:e>
              </m:d>
              <m:r>
                <w:rPr>
                  <w:rFonts w:ascii="Cambria Math" w:eastAsiaTheme="minorHAnsi" w:hAnsi="Cambria Math" w:cs="Arial"/>
                  <w:sz w:val="22"/>
                  <w:szCs w:val="22"/>
                  <w:lang w:val="ca-ES" w:eastAsia="en-US"/>
                </w:rPr>
                <m:t>×</m:t>
              </m:r>
              <m:d>
                <m:dPr>
                  <m:ctrlPr>
                    <w:rPr>
                      <w:rFonts w:ascii="Cambria Math" w:eastAsiaTheme="minorHAnsi" w:hAnsi="Cambria Math" w:cs="Arial"/>
                      <w:i/>
                      <w:iCs/>
                      <w:sz w:val="22"/>
                      <w:szCs w:val="22"/>
                      <w:lang w:val="ca-ES"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Arial"/>
                          <w:i/>
                          <w:iCs/>
                          <w:sz w:val="22"/>
                          <w:szCs w:val="22"/>
                          <w:lang w:val="ca-ES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 w:cs="Arial"/>
                          <w:sz w:val="22"/>
                          <w:szCs w:val="22"/>
                          <w:lang w:val="ca-ES"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HAnsi" w:hAnsi="Cambria Math" w:cs="Arial"/>
                          <w:sz w:val="22"/>
                          <w:szCs w:val="22"/>
                          <w:lang w:val="ca-ES" w:eastAsia="en-US"/>
                        </w:rPr>
                        <m:t>VP</m:t>
                      </m:r>
                    </m:den>
                  </m:f>
                </m:e>
              </m:d>
            </m:e>
          </m:d>
          <m:r>
            <w:rPr>
              <w:rFonts w:ascii="Cambria Math" w:eastAsiaTheme="minorHAnsi" w:hAnsi="Cambria Math" w:cs="Arial"/>
              <w:sz w:val="22"/>
              <w:szCs w:val="22"/>
              <w:lang w:val="ca-ES" w:eastAsia="en-US"/>
            </w:rPr>
            <m:t>×P</m:t>
          </m:r>
        </m:oMath>
      </m:oMathPara>
    </w:p>
    <w:p w14:paraId="6794327F" w14:textId="77777777" w:rsidR="00B26F13" w:rsidRDefault="00B26F13" w:rsidP="00B26F13">
      <w:pPr>
        <w:spacing w:line="276" w:lineRule="auto"/>
        <w:jc w:val="both"/>
        <w:rPr>
          <w:rFonts w:ascii="Arial" w:eastAsiaTheme="minorEastAsia" w:hAnsi="Arial" w:cs="Arial"/>
          <w:iCs/>
          <w:sz w:val="22"/>
          <w:szCs w:val="22"/>
          <w:lang w:val="ca-ES" w:eastAsia="en-US"/>
        </w:rPr>
      </w:pPr>
    </w:p>
    <w:p w14:paraId="3B622E4B" w14:textId="77777777" w:rsidR="00B26F13" w:rsidRDefault="00B26F13" w:rsidP="00B26F13">
      <w:pPr>
        <w:spacing w:line="276" w:lineRule="auto"/>
        <w:jc w:val="both"/>
        <w:rPr>
          <w:rFonts w:ascii="Arial" w:eastAsiaTheme="minorEastAsia" w:hAnsi="Arial" w:cs="Arial"/>
          <w:iCs/>
          <w:sz w:val="22"/>
          <w:szCs w:val="22"/>
          <w:lang w:val="ca-ES" w:eastAsia="en-US"/>
        </w:rPr>
      </w:pPr>
      <w:r>
        <w:rPr>
          <w:rFonts w:ascii="Arial" w:eastAsiaTheme="minorEastAsia" w:hAnsi="Arial" w:cs="Arial"/>
          <w:iCs/>
          <w:sz w:val="22"/>
          <w:szCs w:val="22"/>
          <w:lang w:val="ca-ES" w:eastAsia="en-US"/>
        </w:rPr>
        <w:t xml:space="preserve">El valor de ponderació (VP) és fix i igual a 2, </w:t>
      </w:r>
      <w:r w:rsidRPr="00AA5321">
        <w:rPr>
          <w:rFonts w:ascii="Arial" w:eastAsiaTheme="minorEastAsia" w:hAnsi="Arial" w:cs="Arial"/>
          <w:iCs/>
          <w:sz w:val="22"/>
          <w:szCs w:val="22"/>
          <w:lang w:val="ca-ES" w:eastAsia="en-US"/>
        </w:rPr>
        <w:t xml:space="preserve">acollint-se al disposat al punt 7.b de la “DIRECTRIU 1/2020 D’APLICACIÓ DE FÓRMULES DE VALORACIÓ I PUNTUACIÓ DE LES </w:t>
      </w:r>
      <w:r w:rsidRPr="00AA5321">
        <w:rPr>
          <w:rFonts w:ascii="Arial" w:eastAsiaTheme="minorEastAsia" w:hAnsi="Arial" w:cs="Arial"/>
          <w:iCs/>
          <w:sz w:val="22"/>
          <w:szCs w:val="22"/>
          <w:lang w:val="ca-ES" w:eastAsia="en-US"/>
        </w:rPr>
        <w:lastRenderedPageBreak/>
        <w:t>PROPOSICIONS ECONÒMICA I TÈCNICA” de la Direcció General de Contractació Pública</w:t>
      </w:r>
      <w:r>
        <w:rPr>
          <w:rFonts w:ascii="Arial" w:eastAsiaTheme="minorEastAsia" w:hAnsi="Arial" w:cs="Arial"/>
          <w:iCs/>
          <w:sz w:val="22"/>
          <w:szCs w:val="22"/>
          <w:lang w:val="ca-ES" w:eastAsia="en-US"/>
        </w:rPr>
        <w:t xml:space="preserve">, el qual estipula: </w:t>
      </w:r>
    </w:p>
    <w:p w14:paraId="4096CC43" w14:textId="77777777" w:rsidR="00B26F13" w:rsidRDefault="00B26F13" w:rsidP="00B26F13">
      <w:pPr>
        <w:spacing w:line="276" w:lineRule="auto"/>
        <w:jc w:val="both"/>
        <w:rPr>
          <w:rFonts w:ascii="Arial" w:eastAsiaTheme="minorEastAsia" w:hAnsi="Arial" w:cs="Arial"/>
          <w:iCs/>
          <w:sz w:val="22"/>
          <w:szCs w:val="22"/>
          <w:lang w:val="ca-ES" w:eastAsia="en-US"/>
        </w:rPr>
      </w:pPr>
    </w:p>
    <w:p w14:paraId="7426F815" w14:textId="77777777" w:rsidR="00B26F13" w:rsidRPr="00AA5321" w:rsidRDefault="00B26F13" w:rsidP="00B26F13">
      <w:pPr>
        <w:spacing w:line="276" w:lineRule="auto"/>
        <w:jc w:val="both"/>
        <w:rPr>
          <w:rFonts w:ascii="Arial" w:eastAsiaTheme="minorEastAsia" w:hAnsi="Arial" w:cs="Arial"/>
          <w:iCs/>
          <w:sz w:val="22"/>
          <w:szCs w:val="22"/>
          <w:lang w:val="ca-ES" w:eastAsia="en-US"/>
        </w:rPr>
      </w:pPr>
      <w:r>
        <w:rPr>
          <w:rFonts w:ascii="Arial" w:eastAsiaTheme="minorEastAsia" w:hAnsi="Arial" w:cs="Arial"/>
          <w:iCs/>
          <w:sz w:val="22"/>
          <w:szCs w:val="22"/>
          <w:lang w:val="ca-ES" w:eastAsia="en-US"/>
        </w:rPr>
        <w:t>“</w:t>
      </w:r>
      <w:r w:rsidRPr="005578BB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>excepcionalment, es podrà aplicar un valor de ponderació fins a 4 prèvia justificació a la memòria justificativa del contracte, en els supòsits següents</w:t>
      </w:r>
      <w:r w:rsidRPr="00AA5321">
        <w:rPr>
          <w:rFonts w:ascii="Arial" w:eastAsiaTheme="minorEastAsia" w:hAnsi="Arial" w:cs="Arial"/>
          <w:iCs/>
          <w:sz w:val="22"/>
          <w:szCs w:val="22"/>
          <w:lang w:val="ca-ES" w:eastAsia="en-US"/>
        </w:rPr>
        <w:t xml:space="preserve">: </w:t>
      </w:r>
    </w:p>
    <w:p w14:paraId="5632FAF3" w14:textId="77777777" w:rsidR="00B26F13" w:rsidRPr="008D0EBD" w:rsidRDefault="00B26F13" w:rsidP="00B26F13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5578BB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 xml:space="preserve">b)En les licitacions en les quals sigui exigible que la prestació s’executi amb un alt nivell qualitatiu, atesa la complexitat </w:t>
      </w:r>
      <w:r w:rsidRPr="00AA5321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>tècnica</w:t>
      </w:r>
      <w:r w:rsidRPr="00AA5321">
        <w:rPr>
          <w:rFonts w:ascii="Arial" w:eastAsiaTheme="minorEastAsia" w:hAnsi="Arial" w:cs="Arial"/>
          <w:iCs/>
          <w:sz w:val="22"/>
          <w:szCs w:val="22"/>
          <w:lang w:val="ca-ES" w:eastAsia="en-US"/>
        </w:rPr>
        <w:t>”</w:t>
      </w:r>
      <w:r>
        <w:rPr>
          <w:rFonts w:ascii="Arial" w:eastAsiaTheme="minorEastAsia" w:hAnsi="Arial" w:cs="Arial"/>
          <w:iCs/>
          <w:sz w:val="22"/>
          <w:szCs w:val="22"/>
          <w:lang w:val="ca-ES" w:eastAsia="en-US"/>
        </w:rPr>
        <w:t>.</w:t>
      </w:r>
    </w:p>
    <w:p w14:paraId="76C37A45" w14:textId="77777777" w:rsidR="00B26F13" w:rsidRDefault="00B26F13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0FA7651E" w14:textId="1E383E1E" w:rsidR="00A845AF" w:rsidRDefault="00A845AF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>
        <w:rPr>
          <w:rFonts w:ascii="Arial" w:eastAsiaTheme="minorHAnsi" w:hAnsi="Arial" w:cs="Arial"/>
          <w:iCs/>
          <w:sz w:val="22"/>
          <w:szCs w:val="22"/>
          <w:lang w:val="ca-ES" w:eastAsia="en-US"/>
        </w:rPr>
        <w:t>En referència en la valoració de l’oferta econòmica, cal puntualitzar que en la fórmula:</w:t>
      </w:r>
    </w:p>
    <w:p w14:paraId="18F28B6E" w14:textId="77777777" w:rsidR="00A845AF" w:rsidRDefault="00A845AF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3F7DF9A9" w14:textId="7A128659" w:rsidR="00A845AF" w:rsidRDefault="00A67B66" w:rsidP="00C70A32">
      <w:pPr>
        <w:spacing w:line="276" w:lineRule="auto"/>
        <w:jc w:val="center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>
        <w:rPr>
          <w:rFonts w:cs="Book Antiqua"/>
          <w:noProof/>
          <w:lang w:val="ca-ES" w:eastAsia="ca-ES"/>
        </w:rPr>
        <w:drawing>
          <wp:inline distT="0" distB="0" distL="0" distR="0" wp14:anchorId="33B90F06" wp14:editId="5D823B69">
            <wp:extent cx="2763520" cy="436880"/>
            <wp:effectExtent l="0" t="0" r="0" b="1270"/>
            <wp:docPr id="1" name="Imatge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76" r="-12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C10FB" w14:textId="77777777" w:rsidR="00A845AF" w:rsidRDefault="00A845AF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4A91DDA8" w14:textId="77777777" w:rsidR="00A67B66" w:rsidRDefault="00A67B66" w:rsidP="00A67B66">
      <w:pPr>
        <w:spacing w:line="276" w:lineRule="auto"/>
        <w:jc w:val="both"/>
        <w:rPr>
          <w:rFonts w:ascii="Arial" w:eastAsiaTheme="minorEastAsia" w:hAnsi="Arial" w:cs="Arial"/>
          <w:iCs/>
          <w:sz w:val="22"/>
          <w:szCs w:val="22"/>
          <w:lang w:val="ca-ES" w:eastAsia="en-US"/>
        </w:rPr>
      </w:pPr>
      <w:r>
        <w:rPr>
          <w:rFonts w:ascii="Arial" w:eastAsiaTheme="minorHAnsi" w:hAnsi="Arial" w:cs="Arial"/>
          <w:iCs/>
          <w:sz w:val="22"/>
          <w:szCs w:val="22"/>
          <w:lang w:val="ca-ES" w:eastAsia="en-US"/>
        </w:rPr>
        <w:t xml:space="preserve">El factor de modulació (M) serà fix i igual a 2, </w:t>
      </w:r>
      <w:r w:rsidRPr="00AA5321">
        <w:rPr>
          <w:rFonts w:ascii="Arial" w:eastAsiaTheme="minorEastAsia" w:hAnsi="Arial" w:cs="Arial"/>
          <w:iCs/>
          <w:sz w:val="22"/>
          <w:szCs w:val="22"/>
          <w:lang w:val="ca-ES" w:eastAsia="en-US"/>
        </w:rPr>
        <w:t>acollint-se al disposat al punt 7.b de la “DIRECTRIU 1/2020 D’APLICACIÓ DE FÓRMULES DE VALORACIÓ I PUNTUACIÓ DE LES PROPOSICIONS ECONÒMICA I TÈCNICA” de la Direcció General de Contractació Pública</w:t>
      </w:r>
      <w:r>
        <w:rPr>
          <w:rFonts w:ascii="Arial" w:eastAsiaTheme="minorEastAsia" w:hAnsi="Arial" w:cs="Arial"/>
          <w:iCs/>
          <w:sz w:val="22"/>
          <w:szCs w:val="22"/>
          <w:lang w:val="ca-ES" w:eastAsia="en-US"/>
        </w:rPr>
        <w:t xml:space="preserve">, el qual estipula: </w:t>
      </w:r>
    </w:p>
    <w:p w14:paraId="58F15590" w14:textId="77777777" w:rsidR="00A67B66" w:rsidRDefault="00A67B66" w:rsidP="00A67B66">
      <w:pPr>
        <w:spacing w:line="276" w:lineRule="auto"/>
        <w:jc w:val="both"/>
        <w:rPr>
          <w:rFonts w:ascii="Arial" w:eastAsiaTheme="minorEastAsia" w:hAnsi="Arial" w:cs="Arial"/>
          <w:iCs/>
          <w:sz w:val="22"/>
          <w:szCs w:val="22"/>
          <w:lang w:val="ca-ES" w:eastAsia="en-US"/>
        </w:rPr>
      </w:pPr>
    </w:p>
    <w:p w14:paraId="3D6C65DB" w14:textId="77777777" w:rsidR="00A67B66" w:rsidRPr="00AA5321" w:rsidRDefault="00A67B66" w:rsidP="00A67B66">
      <w:pPr>
        <w:spacing w:line="276" w:lineRule="auto"/>
        <w:jc w:val="both"/>
        <w:rPr>
          <w:rFonts w:ascii="Arial" w:eastAsiaTheme="minorEastAsia" w:hAnsi="Arial" w:cs="Arial"/>
          <w:iCs/>
          <w:sz w:val="22"/>
          <w:szCs w:val="22"/>
          <w:lang w:val="ca-ES" w:eastAsia="en-US"/>
        </w:rPr>
      </w:pPr>
      <w:r>
        <w:rPr>
          <w:rFonts w:ascii="Arial" w:eastAsiaTheme="minorEastAsia" w:hAnsi="Arial" w:cs="Arial"/>
          <w:iCs/>
          <w:sz w:val="22"/>
          <w:szCs w:val="22"/>
          <w:lang w:val="ca-ES" w:eastAsia="en-US"/>
        </w:rPr>
        <w:t>“</w:t>
      </w:r>
      <w:r w:rsidRPr="005578BB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>excepcionalment, es podrà aplicar un valor de ponderació fins a 4 prèvia justificació a la memòria justificativa del contracte, en els supòsits següents</w:t>
      </w:r>
      <w:r w:rsidRPr="00AA5321">
        <w:rPr>
          <w:rFonts w:ascii="Arial" w:eastAsiaTheme="minorEastAsia" w:hAnsi="Arial" w:cs="Arial"/>
          <w:iCs/>
          <w:sz w:val="22"/>
          <w:szCs w:val="22"/>
          <w:lang w:val="ca-ES" w:eastAsia="en-US"/>
        </w:rPr>
        <w:t xml:space="preserve">: </w:t>
      </w:r>
    </w:p>
    <w:p w14:paraId="028C55A8" w14:textId="77777777" w:rsidR="00A67B66" w:rsidRPr="008D0EBD" w:rsidRDefault="00A67B66" w:rsidP="00A67B66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5578BB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 xml:space="preserve">b)En les licitacions en les quals sigui exigible que la prestació s’executi amb un alt nivell qualitatiu, atesa la complexitat </w:t>
      </w:r>
      <w:r w:rsidRPr="00AA5321">
        <w:rPr>
          <w:rFonts w:ascii="Arial" w:eastAsiaTheme="minorEastAsia" w:hAnsi="Arial" w:cs="Arial"/>
          <w:i/>
          <w:iCs/>
          <w:sz w:val="22"/>
          <w:szCs w:val="22"/>
          <w:lang w:val="ca-ES" w:eastAsia="en-US"/>
        </w:rPr>
        <w:t>tècnica</w:t>
      </w:r>
      <w:r w:rsidRPr="00AA5321">
        <w:rPr>
          <w:rFonts w:ascii="Arial" w:eastAsiaTheme="minorEastAsia" w:hAnsi="Arial" w:cs="Arial"/>
          <w:iCs/>
          <w:sz w:val="22"/>
          <w:szCs w:val="22"/>
          <w:lang w:val="ca-ES" w:eastAsia="en-US"/>
        </w:rPr>
        <w:t>”</w:t>
      </w:r>
      <w:r>
        <w:rPr>
          <w:rFonts w:ascii="Arial" w:eastAsiaTheme="minorEastAsia" w:hAnsi="Arial" w:cs="Arial"/>
          <w:iCs/>
          <w:sz w:val="22"/>
          <w:szCs w:val="22"/>
          <w:lang w:val="ca-ES" w:eastAsia="en-US"/>
        </w:rPr>
        <w:t>.</w:t>
      </w:r>
    </w:p>
    <w:p w14:paraId="04424FC7" w14:textId="77777777" w:rsidR="00A845AF" w:rsidRPr="008D0EBD" w:rsidRDefault="00A845AF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6D1FD3F9" w14:textId="77777777" w:rsidR="00757807" w:rsidRPr="008D0EBD" w:rsidRDefault="00757807" w:rsidP="003F031E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</w:p>
    <w:p w14:paraId="7913E3BA" w14:textId="77777777" w:rsidR="008E3C2D" w:rsidRPr="008D0EBD" w:rsidRDefault="008E3C2D" w:rsidP="008E3C2D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</w:pPr>
      <w:r w:rsidRPr="008D0EBD"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  <w:t xml:space="preserve">7.- Condicions especials d’execució </w:t>
      </w:r>
    </w:p>
    <w:p w14:paraId="0B14428C" w14:textId="77777777" w:rsidR="000613A9" w:rsidRPr="008D0EBD" w:rsidRDefault="000613A9" w:rsidP="008E3C2D">
      <w:pPr>
        <w:spacing w:line="276" w:lineRule="auto"/>
        <w:jc w:val="both"/>
        <w:rPr>
          <w:rFonts w:ascii="Arial" w:eastAsiaTheme="minorHAnsi" w:hAnsi="Arial" w:cs="Arial"/>
          <w:b/>
          <w:iCs/>
          <w:sz w:val="22"/>
          <w:szCs w:val="22"/>
          <w:lang w:val="ca-ES" w:eastAsia="en-US"/>
        </w:rPr>
      </w:pPr>
    </w:p>
    <w:p w14:paraId="23499E99" w14:textId="77777777" w:rsidR="00742313" w:rsidRPr="008D0EBD" w:rsidRDefault="008E3C2D" w:rsidP="008E3C2D">
      <w:pPr>
        <w:spacing w:line="276" w:lineRule="auto"/>
        <w:jc w:val="both"/>
        <w:rPr>
          <w:rFonts w:ascii="Arial" w:eastAsiaTheme="minorHAnsi" w:hAnsi="Arial" w:cs="Arial"/>
          <w:iCs/>
          <w:sz w:val="22"/>
          <w:szCs w:val="22"/>
          <w:lang w:val="ca-ES" w:eastAsia="en-US"/>
        </w:rPr>
      </w:pPr>
      <w:r w:rsidRPr="008D0EBD">
        <w:rPr>
          <w:rFonts w:ascii="Arial" w:eastAsiaTheme="minorHAnsi" w:hAnsi="Arial" w:cs="Arial"/>
          <w:iCs/>
          <w:sz w:val="22"/>
          <w:szCs w:val="22"/>
          <w:lang w:val="ca-ES" w:eastAsia="en-US"/>
        </w:rPr>
        <w:t>Per la naturalesa del contracte no es considera adient incorporar cap altr</w:t>
      </w:r>
      <w:r w:rsidR="00742313" w:rsidRPr="008D0EBD">
        <w:rPr>
          <w:rFonts w:ascii="Arial" w:eastAsiaTheme="minorHAnsi" w:hAnsi="Arial" w:cs="Arial"/>
          <w:iCs/>
          <w:sz w:val="22"/>
          <w:szCs w:val="22"/>
          <w:lang w:val="ca-ES" w:eastAsia="en-US"/>
        </w:rPr>
        <w:t>a condició especial d’execució.</w:t>
      </w:r>
    </w:p>
    <w:p w14:paraId="5A560DBA" w14:textId="77777777" w:rsidR="00742313" w:rsidRPr="00B778E4" w:rsidRDefault="00742313" w:rsidP="008E3C2D">
      <w:pPr>
        <w:spacing w:line="276" w:lineRule="auto"/>
        <w:jc w:val="both"/>
        <w:rPr>
          <w:rFonts w:ascii="Arial" w:eastAsiaTheme="minorHAnsi" w:hAnsi="Arial" w:cs="Arial"/>
          <w:iCs/>
          <w:color w:val="FF0000"/>
          <w:sz w:val="22"/>
          <w:szCs w:val="22"/>
          <w:lang w:val="ca-ES" w:eastAsia="en-US"/>
        </w:rPr>
      </w:pPr>
    </w:p>
    <w:p w14:paraId="3259709D" w14:textId="77777777" w:rsidR="00757807" w:rsidRPr="00B778E4" w:rsidRDefault="00757807" w:rsidP="003F031E">
      <w:pPr>
        <w:spacing w:line="276" w:lineRule="auto"/>
        <w:jc w:val="both"/>
        <w:rPr>
          <w:rFonts w:ascii="Arial" w:eastAsia="Myriad Pro" w:hAnsi="Arial" w:cs="Arial"/>
          <w:color w:val="FF0000"/>
          <w:w w:val="102"/>
          <w:sz w:val="22"/>
          <w:szCs w:val="22"/>
          <w:lang w:val="ca-ES"/>
        </w:rPr>
      </w:pPr>
    </w:p>
    <w:p w14:paraId="2C41FAEC" w14:textId="77777777" w:rsidR="008E3C2D" w:rsidRPr="008D0EBD" w:rsidRDefault="008E3C2D" w:rsidP="003F031E">
      <w:pPr>
        <w:spacing w:line="276" w:lineRule="auto"/>
        <w:jc w:val="both"/>
        <w:rPr>
          <w:rFonts w:ascii="Arial" w:eastAsia="Myriad Pro" w:hAnsi="Arial" w:cs="Arial"/>
          <w:b/>
          <w:w w:val="102"/>
          <w:sz w:val="22"/>
          <w:szCs w:val="22"/>
          <w:lang w:val="ca-ES"/>
        </w:rPr>
      </w:pPr>
      <w:r w:rsidRPr="008D0EBD">
        <w:rPr>
          <w:rFonts w:ascii="Arial" w:eastAsia="Myriad Pro" w:hAnsi="Arial" w:cs="Arial"/>
          <w:b/>
          <w:w w:val="102"/>
          <w:sz w:val="22"/>
          <w:szCs w:val="22"/>
          <w:lang w:val="ca-ES"/>
        </w:rPr>
        <w:t>8.- Pressupost de licitació del contracte</w:t>
      </w:r>
    </w:p>
    <w:p w14:paraId="7A43F8F0" w14:textId="77777777" w:rsidR="00BC1A17" w:rsidRPr="008D0EBD" w:rsidRDefault="00BC1A17" w:rsidP="003F031E">
      <w:pPr>
        <w:spacing w:line="276" w:lineRule="auto"/>
        <w:jc w:val="both"/>
        <w:rPr>
          <w:rFonts w:ascii="Arial" w:eastAsia="Myriad Pro" w:hAnsi="Arial" w:cs="Arial"/>
          <w:w w:val="102"/>
          <w:sz w:val="22"/>
          <w:szCs w:val="22"/>
          <w:lang w:val="ca-ES"/>
        </w:rPr>
      </w:pPr>
    </w:p>
    <w:p w14:paraId="1CB1FAC9" w14:textId="3E0F7B85" w:rsidR="001F0BF3" w:rsidRPr="00284BB4" w:rsidRDefault="00BC1A17" w:rsidP="001F0BF3">
      <w:pPr>
        <w:spacing w:line="276" w:lineRule="auto"/>
        <w:jc w:val="both"/>
        <w:rPr>
          <w:rFonts w:ascii="Arial" w:eastAsia="Myriad Pro" w:hAnsi="Arial" w:cs="Arial"/>
          <w:w w:val="102"/>
          <w:sz w:val="22"/>
          <w:szCs w:val="22"/>
          <w:lang w:val="ca-ES"/>
        </w:rPr>
      </w:pPr>
      <w:r w:rsidRPr="008D0EBD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D’acord amb </w:t>
      </w:r>
      <w:r w:rsidR="0007611A">
        <w:rPr>
          <w:rFonts w:ascii="Arial" w:eastAsia="Myriad Pro" w:hAnsi="Arial" w:cs="Arial"/>
          <w:w w:val="102"/>
          <w:sz w:val="22"/>
          <w:szCs w:val="22"/>
          <w:lang w:val="ca-ES"/>
        </w:rPr>
        <w:t>la clàusula quarta d</w:t>
      </w:r>
      <w:r w:rsidRPr="008D0EBD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el plec de prescripcions tècniques, per al conjunt de les </w:t>
      </w:r>
      <w:r w:rsidR="001C6F9D">
        <w:rPr>
          <w:rFonts w:ascii="Arial" w:eastAsia="Myriad Pro" w:hAnsi="Arial" w:cs="Arial"/>
          <w:w w:val="102"/>
          <w:sz w:val="22"/>
          <w:szCs w:val="22"/>
          <w:lang w:val="ca-ES"/>
        </w:rPr>
        <w:t>4</w:t>
      </w:r>
      <w:r w:rsidRPr="008D0EBD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fases previstes, s’ha estimat que el </w:t>
      </w:r>
      <w:r w:rsidR="001F0BF3" w:rsidRPr="008D0EBD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temps necessari per al </w:t>
      </w:r>
      <w:r w:rsidRPr="008D0EBD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desenvolupament de les tasques </w:t>
      </w:r>
      <w:r w:rsidR="001F0BF3" w:rsidRPr="008D0EBD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és de </w:t>
      </w:r>
      <w:r w:rsidR="001C6F9D">
        <w:rPr>
          <w:rFonts w:ascii="Arial" w:eastAsia="Myriad Pro" w:hAnsi="Arial" w:cs="Arial"/>
          <w:w w:val="102"/>
          <w:sz w:val="22"/>
          <w:szCs w:val="22"/>
          <w:lang w:val="ca-ES"/>
        </w:rPr>
        <w:t>1.72</w:t>
      </w:r>
      <w:r w:rsidR="00D764F2">
        <w:rPr>
          <w:rFonts w:ascii="Arial" w:eastAsia="Myriad Pro" w:hAnsi="Arial" w:cs="Arial"/>
          <w:w w:val="102"/>
          <w:sz w:val="22"/>
          <w:szCs w:val="22"/>
          <w:lang w:val="ca-ES"/>
        </w:rPr>
        <w:t>7</w:t>
      </w:r>
      <w:r w:rsidR="001F0BF3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hores</w:t>
      </w:r>
      <w:r w:rsidRPr="008D0EBD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</w:t>
      </w:r>
      <w:r w:rsidR="001F0BF3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(valorades a </w:t>
      </w:r>
      <w:r w:rsidR="00B843B1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>8</w:t>
      </w:r>
      <w:r w:rsidR="001C6F9D">
        <w:rPr>
          <w:rFonts w:ascii="Arial" w:eastAsia="Myriad Pro" w:hAnsi="Arial" w:cs="Arial"/>
          <w:w w:val="102"/>
          <w:sz w:val="22"/>
          <w:szCs w:val="22"/>
          <w:lang w:val="ca-ES"/>
        </w:rPr>
        <w:t>5</w:t>
      </w:r>
      <w:r w:rsidR="00B843B1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€/hora pel cap d’equip i </w:t>
      </w:r>
      <w:r w:rsidR="001C6F9D">
        <w:rPr>
          <w:rFonts w:ascii="Arial" w:eastAsia="Myriad Pro" w:hAnsi="Arial" w:cs="Arial"/>
          <w:w w:val="102"/>
          <w:sz w:val="22"/>
          <w:szCs w:val="22"/>
          <w:lang w:val="ca-ES"/>
        </w:rPr>
        <w:t>60</w:t>
      </w:r>
      <w:r w:rsidR="00B843B1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€/hora pel tècnic) repartides en percentatge segons la càrrega de treball de cada </w:t>
      </w:r>
      <w:r w:rsidR="00E50211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>membre de l</w:t>
      </w:r>
      <w:r w:rsidR="00B843B1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>’</w:t>
      </w:r>
      <w:r w:rsidR="00E50211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>e</w:t>
      </w:r>
      <w:r w:rsidR="00B843B1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>quip</w:t>
      </w:r>
      <w:r w:rsidR="001F0BF3" w:rsidRPr="00284BB4">
        <w:rPr>
          <w:rFonts w:ascii="Arial" w:eastAsia="Myriad Pro" w:hAnsi="Arial" w:cs="Arial"/>
          <w:w w:val="102"/>
          <w:sz w:val="22"/>
          <w:szCs w:val="22"/>
          <w:lang w:val="ca-ES"/>
        </w:rPr>
        <w:t>.</w:t>
      </w:r>
      <w:r w:rsidR="00284BB4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L’informe de justificació del preu de licitació presenta més detalladament aquesta estimació del pressupost de licitació.</w:t>
      </w:r>
    </w:p>
    <w:p w14:paraId="72EEC490" w14:textId="77777777" w:rsidR="001F0BF3" w:rsidRPr="00B778E4" w:rsidRDefault="001F0BF3" w:rsidP="001F0BF3">
      <w:pPr>
        <w:spacing w:line="276" w:lineRule="auto"/>
        <w:jc w:val="both"/>
        <w:rPr>
          <w:rFonts w:ascii="Arial" w:eastAsia="Myriad Pro" w:hAnsi="Arial" w:cs="Arial"/>
          <w:color w:val="FF0000"/>
          <w:w w:val="102"/>
          <w:sz w:val="22"/>
          <w:szCs w:val="22"/>
          <w:lang w:val="ca-ES"/>
        </w:rPr>
      </w:pPr>
    </w:p>
    <w:p w14:paraId="4CF7B675" w14:textId="0C55398F" w:rsidR="001F0BF3" w:rsidRPr="00B778E4" w:rsidRDefault="001F0BF3" w:rsidP="001F0BF3">
      <w:pPr>
        <w:spacing w:line="276" w:lineRule="auto"/>
        <w:jc w:val="both"/>
        <w:rPr>
          <w:rFonts w:ascii="Arial" w:eastAsia="Myriad Pro" w:hAnsi="Arial" w:cs="Arial"/>
          <w:color w:val="FF0000"/>
          <w:w w:val="102"/>
          <w:sz w:val="22"/>
          <w:szCs w:val="22"/>
          <w:lang w:val="ca-ES"/>
        </w:rPr>
      </w:pPr>
      <w:r w:rsidRPr="00E50211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Així, el pressupost de licitació del contracte és de </w:t>
      </w:r>
      <w:r w:rsidR="001C6F9D" w:rsidRPr="001C6F9D">
        <w:rPr>
          <w:rFonts w:ascii="Arial" w:eastAsia="Myriad Pro" w:hAnsi="Arial" w:cs="Arial"/>
          <w:w w:val="102"/>
          <w:sz w:val="22"/>
          <w:szCs w:val="22"/>
          <w:lang w:val="ca-ES"/>
        </w:rPr>
        <w:t>157.451,01</w:t>
      </w:r>
      <w:r w:rsidR="00E50211" w:rsidRPr="00E50211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</w:t>
      </w:r>
      <w:r w:rsidRPr="00E50211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€, IVA inclòs, dels quals </w:t>
      </w:r>
      <w:r w:rsidR="001C6F9D" w:rsidRPr="001C6F9D">
        <w:rPr>
          <w:rFonts w:ascii="Arial" w:eastAsia="Myriad Pro" w:hAnsi="Arial" w:cs="Arial"/>
          <w:w w:val="102"/>
          <w:sz w:val="22"/>
          <w:szCs w:val="22"/>
          <w:lang w:val="ca-ES"/>
        </w:rPr>
        <w:t>130.124,8</w:t>
      </w:r>
      <w:r w:rsidR="00CC46FC">
        <w:rPr>
          <w:rFonts w:ascii="Arial" w:eastAsia="Myriad Pro" w:hAnsi="Arial" w:cs="Arial"/>
          <w:w w:val="102"/>
          <w:sz w:val="22"/>
          <w:szCs w:val="22"/>
          <w:lang w:val="ca-ES"/>
        </w:rPr>
        <w:t>0</w:t>
      </w:r>
      <w:r w:rsidR="00E50211" w:rsidRPr="00E50211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</w:t>
      </w:r>
      <w:r w:rsidRPr="00E50211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€ corresponen a l’import sense l’IVA, i </w:t>
      </w:r>
      <w:r w:rsidR="001C6F9D" w:rsidRPr="001C6F9D">
        <w:rPr>
          <w:rFonts w:ascii="Arial" w:eastAsia="Myriad Pro" w:hAnsi="Arial" w:cs="Arial"/>
          <w:w w:val="102"/>
          <w:sz w:val="22"/>
          <w:szCs w:val="22"/>
          <w:lang w:val="ca-ES"/>
        </w:rPr>
        <w:t>27.326,21 €</w:t>
      </w:r>
      <w:r w:rsidRPr="00E50211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corresponen a l’IVA.</w:t>
      </w:r>
    </w:p>
    <w:p w14:paraId="561F80F1" w14:textId="77777777" w:rsidR="00742313" w:rsidRPr="00B778E4" w:rsidRDefault="00742313" w:rsidP="003F031E">
      <w:pPr>
        <w:spacing w:line="276" w:lineRule="auto"/>
        <w:jc w:val="both"/>
        <w:rPr>
          <w:rFonts w:ascii="Arial" w:eastAsia="Myriad Pro" w:hAnsi="Arial" w:cs="Arial"/>
          <w:color w:val="FF0000"/>
          <w:w w:val="102"/>
          <w:sz w:val="22"/>
          <w:szCs w:val="22"/>
          <w:lang w:val="ca-ES"/>
        </w:rPr>
      </w:pPr>
    </w:p>
    <w:p w14:paraId="23F9FEF1" w14:textId="77777777" w:rsidR="007D54AA" w:rsidRPr="00B778E4" w:rsidRDefault="007D54AA" w:rsidP="003F031E">
      <w:pPr>
        <w:spacing w:line="276" w:lineRule="auto"/>
        <w:jc w:val="both"/>
        <w:rPr>
          <w:rFonts w:ascii="Arial" w:eastAsia="Myriad Pro" w:hAnsi="Arial" w:cs="Arial"/>
          <w:color w:val="FF0000"/>
          <w:w w:val="102"/>
          <w:sz w:val="22"/>
          <w:szCs w:val="22"/>
          <w:lang w:val="ca-ES"/>
        </w:rPr>
      </w:pPr>
    </w:p>
    <w:p w14:paraId="48B6397E" w14:textId="77777777" w:rsidR="007D54AA" w:rsidRPr="00B778E4" w:rsidRDefault="007D54AA" w:rsidP="003F031E">
      <w:pPr>
        <w:spacing w:line="276" w:lineRule="auto"/>
        <w:jc w:val="both"/>
        <w:rPr>
          <w:rFonts w:ascii="Arial" w:eastAsia="Myriad Pro" w:hAnsi="Arial" w:cs="Arial"/>
          <w:color w:val="FF0000"/>
          <w:w w:val="102"/>
          <w:sz w:val="22"/>
          <w:szCs w:val="22"/>
          <w:lang w:val="ca-ES"/>
        </w:rPr>
      </w:pPr>
    </w:p>
    <w:p w14:paraId="25F624EB" w14:textId="45E0FF93" w:rsidR="00DD3C50" w:rsidRPr="00DD3C50" w:rsidRDefault="00DD3C50" w:rsidP="00DD3C50">
      <w:pPr>
        <w:spacing w:line="276" w:lineRule="auto"/>
        <w:jc w:val="both"/>
        <w:rPr>
          <w:rFonts w:ascii="Arial" w:eastAsia="Myriad Pro" w:hAnsi="Arial" w:cs="Arial"/>
          <w:b/>
          <w:w w:val="102"/>
          <w:sz w:val="22"/>
          <w:szCs w:val="22"/>
          <w:lang w:val="ca-ES"/>
        </w:rPr>
      </w:pPr>
      <w:r w:rsidRPr="00DD3C50">
        <w:rPr>
          <w:rFonts w:ascii="Arial" w:eastAsia="Myriad Pro" w:hAnsi="Arial" w:cs="Arial"/>
          <w:b/>
          <w:w w:val="102"/>
          <w:sz w:val="22"/>
          <w:szCs w:val="22"/>
          <w:lang w:val="ca-ES"/>
        </w:rPr>
        <w:t>9.- Finalitat del tractament</w:t>
      </w:r>
      <w:r>
        <w:rPr>
          <w:rFonts w:ascii="Arial" w:eastAsia="Myriad Pro" w:hAnsi="Arial" w:cs="Arial"/>
          <w:b/>
          <w:w w:val="102"/>
          <w:sz w:val="22"/>
          <w:szCs w:val="22"/>
          <w:lang w:val="ca-ES"/>
        </w:rPr>
        <w:t xml:space="preserve"> de les dades personals a cedir</w:t>
      </w:r>
    </w:p>
    <w:p w14:paraId="6EF30883" w14:textId="77777777" w:rsidR="00DD3C50" w:rsidRPr="00DD3C50" w:rsidRDefault="00DD3C50" w:rsidP="00DD3C50">
      <w:pPr>
        <w:spacing w:line="276" w:lineRule="auto"/>
        <w:jc w:val="both"/>
        <w:rPr>
          <w:rFonts w:ascii="Arial" w:eastAsia="Myriad Pro" w:hAnsi="Arial" w:cs="Arial"/>
          <w:color w:val="FF0000"/>
          <w:w w:val="102"/>
          <w:sz w:val="22"/>
          <w:szCs w:val="22"/>
          <w:lang w:val="ca-ES"/>
        </w:rPr>
      </w:pPr>
    </w:p>
    <w:p w14:paraId="7C9A6BD1" w14:textId="77777777" w:rsidR="00DD3C50" w:rsidRPr="00DD3C50" w:rsidRDefault="00DD3C50" w:rsidP="00DD3C50">
      <w:pPr>
        <w:spacing w:line="276" w:lineRule="auto"/>
        <w:jc w:val="both"/>
        <w:rPr>
          <w:rFonts w:ascii="Arial" w:eastAsia="Myriad Pro" w:hAnsi="Arial" w:cs="Arial"/>
          <w:color w:val="FF0000"/>
          <w:w w:val="102"/>
          <w:sz w:val="22"/>
          <w:szCs w:val="22"/>
          <w:lang w:val="ca-ES"/>
        </w:rPr>
      </w:pPr>
    </w:p>
    <w:p w14:paraId="4B273639" w14:textId="77777777" w:rsidR="00DD3C50" w:rsidRPr="00DD3C50" w:rsidRDefault="00DD3C50" w:rsidP="00DD3C50">
      <w:pPr>
        <w:spacing w:line="276" w:lineRule="auto"/>
        <w:jc w:val="both"/>
        <w:rPr>
          <w:rFonts w:ascii="Arial" w:eastAsia="Myriad Pro" w:hAnsi="Arial" w:cs="Arial"/>
          <w:w w:val="102"/>
          <w:sz w:val="22"/>
          <w:szCs w:val="22"/>
          <w:lang w:val="ca-ES"/>
        </w:rPr>
      </w:pPr>
      <w:r w:rsidRPr="00DD3C50">
        <w:rPr>
          <w:rFonts w:ascii="Arial" w:eastAsia="Myriad Pro" w:hAnsi="Arial" w:cs="Arial"/>
          <w:w w:val="102"/>
          <w:sz w:val="22"/>
          <w:szCs w:val="22"/>
          <w:lang w:val="ca-ES"/>
        </w:rPr>
        <w:lastRenderedPageBreak/>
        <w:t>El contractista s’obliga a complir les prescripcions que es prevegin a la Llei Orgànica de protecció de dades de caràcter personal i la seva normativa de desenvolupament, conforme al previst a la Disposició addicional 25 de la LCSP.</w:t>
      </w:r>
    </w:p>
    <w:p w14:paraId="3A5807F1" w14:textId="77777777" w:rsidR="00DD3C50" w:rsidRPr="00DD3C50" w:rsidRDefault="00DD3C50" w:rsidP="00DD3C50">
      <w:pPr>
        <w:spacing w:line="276" w:lineRule="auto"/>
        <w:jc w:val="both"/>
        <w:rPr>
          <w:rFonts w:ascii="Arial" w:eastAsia="Myriad Pro" w:hAnsi="Arial" w:cs="Arial"/>
          <w:w w:val="102"/>
          <w:sz w:val="22"/>
          <w:szCs w:val="22"/>
          <w:lang w:val="ca-ES"/>
        </w:rPr>
      </w:pPr>
    </w:p>
    <w:p w14:paraId="5E357D38" w14:textId="77777777" w:rsidR="00DD3C50" w:rsidRPr="00DD3C50" w:rsidRDefault="00DD3C50" w:rsidP="00DD3C50">
      <w:pPr>
        <w:spacing w:line="276" w:lineRule="auto"/>
        <w:jc w:val="both"/>
        <w:rPr>
          <w:rFonts w:ascii="Arial" w:eastAsia="Myriad Pro" w:hAnsi="Arial" w:cs="Arial"/>
          <w:w w:val="102"/>
          <w:sz w:val="22"/>
          <w:szCs w:val="22"/>
          <w:lang w:val="ca-ES"/>
        </w:rPr>
      </w:pPr>
      <w:r w:rsidRPr="00DD3C50">
        <w:rPr>
          <w:rFonts w:ascii="Arial" w:eastAsia="Myriad Pro" w:hAnsi="Arial" w:cs="Arial"/>
          <w:w w:val="102"/>
          <w:sz w:val="22"/>
          <w:szCs w:val="22"/>
          <w:lang w:val="ca-ES"/>
        </w:rPr>
        <w:t>L’adjudicatari queda expressament obligat a complir amb la normativa vigent sobre la matèria objecte de contracte, mantenint absoluta confidencialitat i reserva sobre totes les dades a les quals tingui accés en el compliment de les obligacions del contracte, especialment les de caràcter personal, que no podrà copiar o utilitzar amb una finalitat diferent de l’objecte del contracte, ni tampoc cedir-les a tercers ni tan sols a efectes de conservació. Aquest deure es mantindrà durant el termini de cinc anys</w:t>
      </w:r>
      <w:bookmarkStart w:id="0" w:name="_GoBack"/>
      <w:bookmarkEnd w:id="0"/>
      <w:r w:rsidRPr="00DD3C50">
        <w:rPr>
          <w:rFonts w:ascii="Arial" w:eastAsia="Myriad Pro" w:hAnsi="Arial" w:cs="Arial"/>
          <w:w w:val="102"/>
          <w:sz w:val="22"/>
          <w:szCs w:val="22"/>
          <w:lang w:val="ca-ES"/>
        </w:rPr>
        <w:t xml:space="preserve"> des del coneixement de la informació. </w:t>
      </w:r>
    </w:p>
    <w:p w14:paraId="4511B0EC" w14:textId="77777777" w:rsidR="00DD3C50" w:rsidRPr="00DD3C50" w:rsidRDefault="00DD3C50" w:rsidP="00DD3C50">
      <w:pPr>
        <w:spacing w:line="276" w:lineRule="auto"/>
        <w:jc w:val="both"/>
        <w:rPr>
          <w:rFonts w:ascii="Arial" w:eastAsia="Myriad Pro" w:hAnsi="Arial" w:cs="Arial"/>
          <w:w w:val="102"/>
          <w:sz w:val="22"/>
          <w:szCs w:val="22"/>
          <w:lang w:val="ca-ES"/>
        </w:rPr>
      </w:pPr>
    </w:p>
    <w:p w14:paraId="538C1213" w14:textId="52BD36EF" w:rsidR="000613A9" w:rsidRPr="00DD3C50" w:rsidRDefault="00DD3C50" w:rsidP="00DD3C50">
      <w:pPr>
        <w:spacing w:line="276" w:lineRule="auto"/>
        <w:jc w:val="both"/>
        <w:rPr>
          <w:rFonts w:ascii="Arial" w:eastAsia="Myriad Pro" w:hAnsi="Arial" w:cs="Arial"/>
          <w:w w:val="102"/>
          <w:sz w:val="22"/>
          <w:szCs w:val="22"/>
          <w:lang w:val="ca-ES"/>
        </w:rPr>
      </w:pPr>
      <w:r w:rsidRPr="00DD3C50">
        <w:rPr>
          <w:rFonts w:ascii="Arial" w:eastAsia="Myriad Pro" w:hAnsi="Arial" w:cs="Arial"/>
          <w:w w:val="102"/>
          <w:sz w:val="22"/>
          <w:szCs w:val="22"/>
          <w:lang w:val="ca-ES"/>
        </w:rPr>
        <w:t>D'igual manera, el contractista serà responsable que el seu personal, col·laboradors, directius i en general, totes les persones que tinguin accés a la informació confidencial i als fitxers de l’ICAEN, respectin la confidencialitat de la informació, així com les obligacions relatives al tractament automatitzat de dades de caràcter personal. Per tant, el contractista realitzarà quants advertiments i subscriurà quants documents siguin necessaris, amb aquestes persones, amb la finalitat d'assegurar el compliment de tals obligacions.</w:t>
      </w:r>
    </w:p>
    <w:p w14:paraId="3F9E4402" w14:textId="77777777" w:rsidR="006B7958" w:rsidRPr="00E50211" w:rsidRDefault="006B7958" w:rsidP="003F031E">
      <w:pPr>
        <w:spacing w:line="276" w:lineRule="auto"/>
        <w:jc w:val="both"/>
        <w:rPr>
          <w:rFonts w:ascii="Arial" w:eastAsia="Myriad Pro" w:hAnsi="Arial" w:cs="Arial"/>
          <w:w w:val="102"/>
          <w:sz w:val="22"/>
          <w:szCs w:val="22"/>
          <w:lang w:val="ca-ES"/>
        </w:rPr>
      </w:pPr>
    </w:p>
    <w:p w14:paraId="35A3EA27" w14:textId="471D5866" w:rsidR="00BF1D2F" w:rsidRPr="00E50211" w:rsidRDefault="006B7958" w:rsidP="002124AB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sz w:val="22"/>
          <w:lang w:val="ca-ES"/>
        </w:rPr>
      </w:pPr>
      <w:r w:rsidRPr="00E50211">
        <w:rPr>
          <w:rFonts w:ascii="Arial" w:hAnsi="Arial" w:cs="Arial"/>
          <w:sz w:val="22"/>
          <w:lang w:val="ca-ES"/>
        </w:rPr>
        <w:tab/>
      </w:r>
      <w:r w:rsidRPr="00E50211">
        <w:rPr>
          <w:rFonts w:ascii="Arial" w:hAnsi="Arial" w:cs="Arial"/>
          <w:sz w:val="22"/>
          <w:lang w:val="ca-ES"/>
        </w:rPr>
        <w:tab/>
      </w:r>
      <w:r w:rsidRPr="00E50211">
        <w:rPr>
          <w:rFonts w:ascii="Arial" w:hAnsi="Arial" w:cs="Arial"/>
          <w:sz w:val="22"/>
          <w:lang w:val="ca-ES"/>
        </w:rPr>
        <w:tab/>
      </w:r>
      <w:r w:rsidR="009D5CAD">
        <w:rPr>
          <w:rFonts w:ascii="Arial" w:hAnsi="Arial" w:cs="Arial"/>
          <w:sz w:val="22"/>
          <w:lang w:val="ca-ES"/>
        </w:rPr>
        <w:tab/>
      </w:r>
      <w:r w:rsidR="001C6F9D">
        <w:rPr>
          <w:rFonts w:ascii="Arial" w:hAnsi="Arial" w:cs="Arial"/>
          <w:sz w:val="22"/>
          <w:lang w:val="ca-ES"/>
        </w:rPr>
        <w:t>Jaume Margarit Roset</w:t>
      </w:r>
    </w:p>
    <w:p w14:paraId="04A5F2B0" w14:textId="0E5B1610" w:rsidR="008E6958" w:rsidRPr="00B778E4" w:rsidRDefault="00DD3C50" w:rsidP="00C70A32">
      <w:pPr>
        <w:keepLines/>
        <w:suppressLineNumbers/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ca-ES"/>
        </w:rPr>
      </w:pPr>
      <w:r>
        <w:rPr>
          <w:rFonts w:ascii="Arial" w:hAnsi="Arial" w:cs="Arial"/>
          <w:sz w:val="22"/>
          <w:lang w:val="ca-ES"/>
        </w:rPr>
        <w:tab/>
      </w:r>
      <w:r>
        <w:rPr>
          <w:rFonts w:ascii="Arial" w:hAnsi="Arial" w:cs="Arial"/>
          <w:sz w:val="22"/>
          <w:lang w:val="ca-ES"/>
        </w:rPr>
        <w:tab/>
      </w:r>
      <w:r w:rsidR="006B7958" w:rsidRPr="00E50211">
        <w:rPr>
          <w:rFonts w:ascii="Arial" w:hAnsi="Arial" w:cs="Arial"/>
          <w:sz w:val="22"/>
          <w:lang w:val="ca-ES"/>
        </w:rPr>
        <w:t>Cap de la Divisió de Planificació Energètica</w:t>
      </w:r>
    </w:p>
    <w:sectPr w:rsidR="008E6958" w:rsidRPr="00B778E4" w:rsidSect="00277607">
      <w:headerReference w:type="default" r:id="rId9"/>
      <w:footerReference w:type="default" r:id="rId10"/>
      <w:pgSz w:w="11907" w:h="16840" w:code="9"/>
      <w:pgMar w:top="1843" w:right="1134" w:bottom="1418" w:left="1418" w:header="567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A70AC" w14:textId="77777777" w:rsidR="00AF4099" w:rsidRDefault="00AF4099">
      <w:r>
        <w:separator/>
      </w:r>
    </w:p>
  </w:endnote>
  <w:endnote w:type="continuationSeparator" w:id="0">
    <w:p w14:paraId="403267B9" w14:textId="77777777" w:rsidR="00AF4099" w:rsidRDefault="00AF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80608" w14:textId="5A901CDE" w:rsidR="00414734" w:rsidRDefault="00414734">
    <w:pPr>
      <w:pStyle w:val="Peu"/>
      <w:framePr w:wrap="around" w:vAnchor="text" w:hAnchor="page" w:x="10525" w:y="1"/>
      <w:rPr>
        <w:rStyle w:val="Nmerodepgina"/>
        <w:rFonts w:ascii="Univers" w:hAnsi="Univers"/>
      </w:rPr>
    </w:pPr>
    <w:r>
      <w:rPr>
        <w:rStyle w:val="Nmerodepgina"/>
        <w:rFonts w:ascii="Univers" w:hAnsi="Univers"/>
      </w:rPr>
      <w:fldChar w:fldCharType="begin"/>
    </w:r>
    <w:r>
      <w:rPr>
        <w:rStyle w:val="Nmerodepgina"/>
        <w:rFonts w:ascii="Univers" w:hAnsi="Univers"/>
      </w:rPr>
      <w:instrText xml:space="preserve">PAGE  </w:instrText>
    </w:r>
    <w:r>
      <w:rPr>
        <w:rStyle w:val="Nmerodepgina"/>
        <w:rFonts w:ascii="Univers" w:hAnsi="Univers"/>
      </w:rPr>
      <w:fldChar w:fldCharType="separate"/>
    </w:r>
    <w:r w:rsidR="00DD3C50">
      <w:rPr>
        <w:rStyle w:val="Nmerodepgina"/>
        <w:rFonts w:ascii="Univers" w:hAnsi="Univers"/>
        <w:noProof/>
      </w:rPr>
      <w:t>4</w:t>
    </w:r>
    <w:r>
      <w:rPr>
        <w:rStyle w:val="Nmerodepgina"/>
        <w:rFonts w:ascii="Univers" w:hAnsi="Univers"/>
      </w:rPr>
      <w:fldChar w:fldCharType="end"/>
    </w:r>
  </w:p>
  <w:p w14:paraId="49CC57F8" w14:textId="77777777" w:rsidR="00414734" w:rsidRDefault="00414734">
    <w:pPr>
      <w:pStyle w:val="Peu"/>
      <w:ind w:right="360"/>
      <w:jc w:val="right"/>
      <w:rPr>
        <w:rFonts w:ascii="Univers" w:hAnsi="Univers"/>
        <w:lang w:val="ca-ES"/>
      </w:rPr>
    </w:pPr>
    <w:r>
      <w:rPr>
        <w:rFonts w:ascii="Univers" w:hAnsi="Univers"/>
        <w:lang w:val="ca-ES"/>
      </w:rPr>
      <w:t>Pàgina</w:t>
    </w:r>
  </w:p>
  <w:p w14:paraId="3F57909F" w14:textId="77777777" w:rsidR="00414734" w:rsidRDefault="004147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350FE" w14:textId="77777777" w:rsidR="00AF4099" w:rsidRDefault="00AF4099">
      <w:r>
        <w:separator/>
      </w:r>
    </w:p>
  </w:footnote>
  <w:footnote w:type="continuationSeparator" w:id="0">
    <w:p w14:paraId="1C4B03A8" w14:textId="77777777" w:rsidR="00AF4099" w:rsidRDefault="00AF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F5FC8" w14:textId="77777777" w:rsidR="00414734" w:rsidRDefault="00414734" w:rsidP="00026C1A">
    <w:pPr>
      <w:pStyle w:val="Capalera"/>
    </w:pPr>
    <w:r>
      <w:rPr>
        <w:rFonts w:ascii="Helvetica*" w:hAnsi="Helvetica*"/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441B378A" wp14:editId="632E8957">
          <wp:simplePos x="0" y="0"/>
          <wp:positionH relativeFrom="column">
            <wp:posOffset>-357505</wp:posOffset>
          </wp:positionH>
          <wp:positionV relativeFrom="paragraph">
            <wp:posOffset>1905</wp:posOffset>
          </wp:positionV>
          <wp:extent cx="2298700" cy="381000"/>
          <wp:effectExtent l="19050" t="0" r="6350" b="0"/>
          <wp:wrapSquare wrapText="bothSides"/>
          <wp:docPr id="22" name="Imagen 22" descr="ice_bne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e_bnes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56BA35F3" w14:textId="77777777" w:rsidR="00414734" w:rsidRDefault="00414734">
    <w:pPr>
      <w:pStyle w:val="Capalera"/>
    </w:pPr>
  </w:p>
  <w:p w14:paraId="40B49141" w14:textId="77777777" w:rsidR="004C1343" w:rsidRDefault="00414734" w:rsidP="004C1343">
    <w:pPr>
      <w:keepLines/>
      <w:suppressLineNumbers/>
      <w:suppressAutoHyphens/>
      <w:jc w:val="right"/>
      <w:rPr>
        <w:rFonts w:ascii="Arial" w:hAnsi="Arial" w:cs="Arial"/>
        <w:b/>
        <w:sz w:val="22"/>
        <w:lang w:val="ca-ES"/>
      </w:rPr>
    </w:pPr>
    <w:r w:rsidRPr="00841F4F">
      <w:rPr>
        <w:rFonts w:ascii="Arial" w:hAnsi="Arial" w:cs="Arial"/>
        <w:b/>
        <w:sz w:val="22"/>
        <w:lang w:val="ca-ES"/>
      </w:rPr>
      <w:t xml:space="preserve">  </w:t>
    </w:r>
  </w:p>
  <w:p w14:paraId="6A354C9E" w14:textId="53D53C4E" w:rsidR="00476F85" w:rsidRPr="00841F4F" w:rsidRDefault="00AB70F0" w:rsidP="00D871C0">
    <w:pPr>
      <w:keepLines/>
      <w:suppressLineNumbers/>
      <w:suppressAutoHyphens/>
      <w:jc w:val="right"/>
      <w:rPr>
        <w:rFonts w:ascii="Arial" w:hAnsi="Arial" w:cs="Arial"/>
        <w:b/>
        <w:sz w:val="22"/>
        <w:lang w:val="ca-ES"/>
      </w:rPr>
    </w:pPr>
    <w:r>
      <w:rPr>
        <w:rFonts w:ascii="Arial" w:hAnsi="Arial"/>
        <w:spacing w:val="-3"/>
        <w:lang w:val="ca-ES"/>
      </w:rPr>
      <w:t xml:space="preserve">Exp. </w:t>
    </w:r>
    <w:r w:rsidR="004C1343" w:rsidRPr="00A75D29">
      <w:rPr>
        <w:rFonts w:ascii="Arial" w:hAnsi="Arial"/>
        <w:spacing w:val="-3"/>
        <w:lang w:val="ca-ES"/>
      </w:rPr>
      <w:t>ICAEN-</w:t>
    </w:r>
    <w:r w:rsidR="007A4A04">
      <w:rPr>
        <w:rFonts w:ascii="Arial" w:hAnsi="Arial"/>
        <w:spacing w:val="-3"/>
        <w:lang w:val="ca-ES"/>
      </w:rPr>
      <w:t>202</w:t>
    </w:r>
    <w:r w:rsidR="00D764F2">
      <w:rPr>
        <w:rFonts w:ascii="Arial" w:hAnsi="Arial"/>
        <w:spacing w:val="-3"/>
        <w:lang w:val="ca-ES"/>
      </w:rPr>
      <w:t>6</w:t>
    </w:r>
    <w:r w:rsidR="007A4A04" w:rsidRPr="00C70A32">
      <w:rPr>
        <w:rFonts w:ascii="Arial" w:hAnsi="Arial"/>
        <w:spacing w:val="-3"/>
        <w:lang w:val="ca-ES"/>
      </w:rPr>
      <w:t>-</w:t>
    </w:r>
    <w:r w:rsidR="00132305" w:rsidRPr="00C70A32">
      <w:rPr>
        <w:rFonts w:ascii="Arial" w:hAnsi="Arial"/>
        <w:spacing w:val="-3"/>
        <w:lang w:val="ca-ES"/>
      </w:rPr>
      <w:t>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2A3B"/>
    <w:multiLevelType w:val="hybridMultilevel"/>
    <w:tmpl w:val="6B4240BA"/>
    <w:lvl w:ilvl="0" w:tplc="73EA3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87712"/>
    <w:multiLevelType w:val="multilevel"/>
    <w:tmpl w:val="7C926C34"/>
    <w:lvl w:ilvl="0">
      <w:start w:val="1"/>
      <w:numFmt w:val="decimal"/>
      <w:pStyle w:val="Ttol1"/>
      <w:lvlText w:val="%1.-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Ttol2"/>
      <w:suff w:val="nothing"/>
      <w:lvlText w:val="%1.%2.- 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tol3"/>
      <w:suff w:val="nothing"/>
      <w:lvlText w:val="%1.%2.%3.- 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tol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42F29F7"/>
    <w:multiLevelType w:val="hybridMultilevel"/>
    <w:tmpl w:val="48D2199E"/>
    <w:lvl w:ilvl="0" w:tplc="7BC82A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PSpeechSession$" w:val="FALSE"/>
    <w:docVar w:name="IPSpeechSessionSaved$" w:val="FALSE"/>
  </w:docVars>
  <w:rsids>
    <w:rsidRoot w:val="002C395A"/>
    <w:rsid w:val="00010B3A"/>
    <w:rsid w:val="00011861"/>
    <w:rsid w:val="00011D9D"/>
    <w:rsid w:val="00014BDD"/>
    <w:rsid w:val="00014C4C"/>
    <w:rsid w:val="000221F9"/>
    <w:rsid w:val="000240D4"/>
    <w:rsid w:val="00025A9A"/>
    <w:rsid w:val="000264F5"/>
    <w:rsid w:val="00026C1A"/>
    <w:rsid w:val="0003001A"/>
    <w:rsid w:val="000417E0"/>
    <w:rsid w:val="0004635F"/>
    <w:rsid w:val="000613A9"/>
    <w:rsid w:val="00063C52"/>
    <w:rsid w:val="0007186C"/>
    <w:rsid w:val="0007234C"/>
    <w:rsid w:val="00073AF4"/>
    <w:rsid w:val="0007611A"/>
    <w:rsid w:val="00082702"/>
    <w:rsid w:val="00082CD7"/>
    <w:rsid w:val="0008404D"/>
    <w:rsid w:val="000862E8"/>
    <w:rsid w:val="000957C3"/>
    <w:rsid w:val="000A67A8"/>
    <w:rsid w:val="000A69FB"/>
    <w:rsid w:val="000B2A38"/>
    <w:rsid w:val="000B7F37"/>
    <w:rsid w:val="000C0834"/>
    <w:rsid w:val="000C3375"/>
    <w:rsid w:val="000C529C"/>
    <w:rsid w:val="000D17B0"/>
    <w:rsid w:val="000F78D2"/>
    <w:rsid w:val="00101606"/>
    <w:rsid w:val="00101D9D"/>
    <w:rsid w:val="0012279C"/>
    <w:rsid w:val="0012451C"/>
    <w:rsid w:val="00125EBD"/>
    <w:rsid w:val="00131EF1"/>
    <w:rsid w:val="00132305"/>
    <w:rsid w:val="001405F6"/>
    <w:rsid w:val="00146CDB"/>
    <w:rsid w:val="0015797E"/>
    <w:rsid w:val="001605A8"/>
    <w:rsid w:val="001654FC"/>
    <w:rsid w:val="00172D15"/>
    <w:rsid w:val="00176BF8"/>
    <w:rsid w:val="00186221"/>
    <w:rsid w:val="00191FA6"/>
    <w:rsid w:val="00192493"/>
    <w:rsid w:val="0019286A"/>
    <w:rsid w:val="001C6F9D"/>
    <w:rsid w:val="001C78AB"/>
    <w:rsid w:val="001D1AEC"/>
    <w:rsid w:val="001D6821"/>
    <w:rsid w:val="001D7A13"/>
    <w:rsid w:val="001E61A3"/>
    <w:rsid w:val="001F0BF3"/>
    <w:rsid w:val="001F2AE1"/>
    <w:rsid w:val="001F33F7"/>
    <w:rsid w:val="001F763C"/>
    <w:rsid w:val="002118D8"/>
    <w:rsid w:val="002124AB"/>
    <w:rsid w:val="00217A45"/>
    <w:rsid w:val="00246D09"/>
    <w:rsid w:val="0025204E"/>
    <w:rsid w:val="0025293C"/>
    <w:rsid w:val="00266649"/>
    <w:rsid w:val="00267E03"/>
    <w:rsid w:val="00271764"/>
    <w:rsid w:val="0027224E"/>
    <w:rsid w:val="00274A21"/>
    <w:rsid w:val="00277607"/>
    <w:rsid w:val="0028022D"/>
    <w:rsid w:val="00283EAE"/>
    <w:rsid w:val="00284BB4"/>
    <w:rsid w:val="00294EE3"/>
    <w:rsid w:val="002A2004"/>
    <w:rsid w:val="002A4A1D"/>
    <w:rsid w:val="002A4E81"/>
    <w:rsid w:val="002B79C4"/>
    <w:rsid w:val="002C395A"/>
    <w:rsid w:val="002C414F"/>
    <w:rsid w:val="002C5395"/>
    <w:rsid w:val="002C7F75"/>
    <w:rsid w:val="002D0C8A"/>
    <w:rsid w:val="002D31FD"/>
    <w:rsid w:val="002D7124"/>
    <w:rsid w:val="002D7B36"/>
    <w:rsid w:val="002E0815"/>
    <w:rsid w:val="002E5416"/>
    <w:rsid w:val="002F0BD8"/>
    <w:rsid w:val="00315893"/>
    <w:rsid w:val="0032158C"/>
    <w:rsid w:val="003306AE"/>
    <w:rsid w:val="0033755C"/>
    <w:rsid w:val="00344C0B"/>
    <w:rsid w:val="00345039"/>
    <w:rsid w:val="00354415"/>
    <w:rsid w:val="003545BC"/>
    <w:rsid w:val="00354922"/>
    <w:rsid w:val="00355357"/>
    <w:rsid w:val="0036573D"/>
    <w:rsid w:val="00371FEC"/>
    <w:rsid w:val="00374EA2"/>
    <w:rsid w:val="003A43FB"/>
    <w:rsid w:val="003B1DC1"/>
    <w:rsid w:val="003F031E"/>
    <w:rsid w:val="003F03A3"/>
    <w:rsid w:val="004028FB"/>
    <w:rsid w:val="00405DDD"/>
    <w:rsid w:val="004119D9"/>
    <w:rsid w:val="00413D30"/>
    <w:rsid w:val="00414734"/>
    <w:rsid w:val="004149E4"/>
    <w:rsid w:val="00415C63"/>
    <w:rsid w:val="00417865"/>
    <w:rsid w:val="00421AA2"/>
    <w:rsid w:val="00422B91"/>
    <w:rsid w:val="00426BEF"/>
    <w:rsid w:val="0043501D"/>
    <w:rsid w:val="00437380"/>
    <w:rsid w:val="004421A8"/>
    <w:rsid w:val="0044415B"/>
    <w:rsid w:val="00444C67"/>
    <w:rsid w:val="00462903"/>
    <w:rsid w:val="0046687B"/>
    <w:rsid w:val="00466E61"/>
    <w:rsid w:val="004721DD"/>
    <w:rsid w:val="00476F85"/>
    <w:rsid w:val="00477323"/>
    <w:rsid w:val="00486CFE"/>
    <w:rsid w:val="00487902"/>
    <w:rsid w:val="00491A3E"/>
    <w:rsid w:val="004977EF"/>
    <w:rsid w:val="004A131D"/>
    <w:rsid w:val="004A5827"/>
    <w:rsid w:val="004A644F"/>
    <w:rsid w:val="004B1B43"/>
    <w:rsid w:val="004C1343"/>
    <w:rsid w:val="004C2334"/>
    <w:rsid w:val="004C5CA9"/>
    <w:rsid w:val="004D1B24"/>
    <w:rsid w:val="004D5F6D"/>
    <w:rsid w:val="004E08B5"/>
    <w:rsid w:val="004E5C26"/>
    <w:rsid w:val="004E5FE9"/>
    <w:rsid w:val="004F0DE8"/>
    <w:rsid w:val="004F6482"/>
    <w:rsid w:val="004F7FD9"/>
    <w:rsid w:val="00510B77"/>
    <w:rsid w:val="00520FD5"/>
    <w:rsid w:val="00533CF1"/>
    <w:rsid w:val="0053453E"/>
    <w:rsid w:val="00544ECC"/>
    <w:rsid w:val="00546024"/>
    <w:rsid w:val="0054604A"/>
    <w:rsid w:val="00564CF0"/>
    <w:rsid w:val="00566494"/>
    <w:rsid w:val="00570AF7"/>
    <w:rsid w:val="00577269"/>
    <w:rsid w:val="00584048"/>
    <w:rsid w:val="00585768"/>
    <w:rsid w:val="005A562A"/>
    <w:rsid w:val="005B6457"/>
    <w:rsid w:val="005B6522"/>
    <w:rsid w:val="005B7D48"/>
    <w:rsid w:val="005D3902"/>
    <w:rsid w:val="005D6B5A"/>
    <w:rsid w:val="005E175E"/>
    <w:rsid w:val="005E6CBB"/>
    <w:rsid w:val="006120F3"/>
    <w:rsid w:val="00626796"/>
    <w:rsid w:val="00650037"/>
    <w:rsid w:val="00653378"/>
    <w:rsid w:val="00667EB7"/>
    <w:rsid w:val="0067031D"/>
    <w:rsid w:val="00673E0C"/>
    <w:rsid w:val="00675F59"/>
    <w:rsid w:val="006A09D7"/>
    <w:rsid w:val="006A76C3"/>
    <w:rsid w:val="006B2AFB"/>
    <w:rsid w:val="006B68F7"/>
    <w:rsid w:val="006B7958"/>
    <w:rsid w:val="006C1FDE"/>
    <w:rsid w:val="006C6440"/>
    <w:rsid w:val="006D2468"/>
    <w:rsid w:val="006D4741"/>
    <w:rsid w:val="006D6EB9"/>
    <w:rsid w:val="006E12EA"/>
    <w:rsid w:val="006E3097"/>
    <w:rsid w:val="006F1FAF"/>
    <w:rsid w:val="006F7474"/>
    <w:rsid w:val="00703EC6"/>
    <w:rsid w:val="00723467"/>
    <w:rsid w:val="0073243A"/>
    <w:rsid w:val="00742313"/>
    <w:rsid w:val="00747AA2"/>
    <w:rsid w:val="007566B1"/>
    <w:rsid w:val="00757807"/>
    <w:rsid w:val="0076655A"/>
    <w:rsid w:val="00766F4C"/>
    <w:rsid w:val="00777F87"/>
    <w:rsid w:val="00786358"/>
    <w:rsid w:val="007927A9"/>
    <w:rsid w:val="007A0454"/>
    <w:rsid w:val="007A4A04"/>
    <w:rsid w:val="007A5C6F"/>
    <w:rsid w:val="007B03D3"/>
    <w:rsid w:val="007C0B82"/>
    <w:rsid w:val="007D31C1"/>
    <w:rsid w:val="007D54AA"/>
    <w:rsid w:val="007E5C1E"/>
    <w:rsid w:val="007F29D8"/>
    <w:rsid w:val="007F6ADB"/>
    <w:rsid w:val="00803F3F"/>
    <w:rsid w:val="00823C97"/>
    <w:rsid w:val="00826D73"/>
    <w:rsid w:val="00827043"/>
    <w:rsid w:val="0082794C"/>
    <w:rsid w:val="00827A6A"/>
    <w:rsid w:val="00841F4F"/>
    <w:rsid w:val="00864F9D"/>
    <w:rsid w:val="00867C0E"/>
    <w:rsid w:val="0087092E"/>
    <w:rsid w:val="0087231E"/>
    <w:rsid w:val="00893405"/>
    <w:rsid w:val="00894767"/>
    <w:rsid w:val="00894924"/>
    <w:rsid w:val="008954EE"/>
    <w:rsid w:val="008A11F9"/>
    <w:rsid w:val="008C70AC"/>
    <w:rsid w:val="008D0EBD"/>
    <w:rsid w:val="008D15BC"/>
    <w:rsid w:val="008D6E29"/>
    <w:rsid w:val="008E3C2D"/>
    <w:rsid w:val="008E6958"/>
    <w:rsid w:val="008E7D7A"/>
    <w:rsid w:val="00900418"/>
    <w:rsid w:val="009045DB"/>
    <w:rsid w:val="00906DEC"/>
    <w:rsid w:val="009176FE"/>
    <w:rsid w:val="00917AD2"/>
    <w:rsid w:val="0092153B"/>
    <w:rsid w:val="0092717D"/>
    <w:rsid w:val="00930E03"/>
    <w:rsid w:val="009335CF"/>
    <w:rsid w:val="00934CE6"/>
    <w:rsid w:val="00935E64"/>
    <w:rsid w:val="00936F95"/>
    <w:rsid w:val="009421AC"/>
    <w:rsid w:val="00952D83"/>
    <w:rsid w:val="00953854"/>
    <w:rsid w:val="00973F1B"/>
    <w:rsid w:val="00975E15"/>
    <w:rsid w:val="00981C0E"/>
    <w:rsid w:val="00985277"/>
    <w:rsid w:val="00986D81"/>
    <w:rsid w:val="0099249A"/>
    <w:rsid w:val="0099476B"/>
    <w:rsid w:val="009A39FC"/>
    <w:rsid w:val="009A7F2B"/>
    <w:rsid w:val="009B7C44"/>
    <w:rsid w:val="009C0B0D"/>
    <w:rsid w:val="009D5CAD"/>
    <w:rsid w:val="009E3EB1"/>
    <w:rsid w:val="009F540C"/>
    <w:rsid w:val="00A02B19"/>
    <w:rsid w:val="00A053FF"/>
    <w:rsid w:val="00A068BC"/>
    <w:rsid w:val="00A179F5"/>
    <w:rsid w:val="00A25D7C"/>
    <w:rsid w:val="00A33142"/>
    <w:rsid w:val="00A34AA8"/>
    <w:rsid w:val="00A40ED0"/>
    <w:rsid w:val="00A5060B"/>
    <w:rsid w:val="00A64B14"/>
    <w:rsid w:val="00A67B66"/>
    <w:rsid w:val="00A779E8"/>
    <w:rsid w:val="00A81234"/>
    <w:rsid w:val="00A82E18"/>
    <w:rsid w:val="00A845AF"/>
    <w:rsid w:val="00A856EB"/>
    <w:rsid w:val="00A867BD"/>
    <w:rsid w:val="00AB70F0"/>
    <w:rsid w:val="00AC0F34"/>
    <w:rsid w:val="00AC1934"/>
    <w:rsid w:val="00AC432B"/>
    <w:rsid w:val="00AD018D"/>
    <w:rsid w:val="00AD2975"/>
    <w:rsid w:val="00AE2C72"/>
    <w:rsid w:val="00AF101C"/>
    <w:rsid w:val="00AF3C77"/>
    <w:rsid w:val="00AF4099"/>
    <w:rsid w:val="00AF66FF"/>
    <w:rsid w:val="00B02060"/>
    <w:rsid w:val="00B0331A"/>
    <w:rsid w:val="00B05A24"/>
    <w:rsid w:val="00B10533"/>
    <w:rsid w:val="00B14C82"/>
    <w:rsid w:val="00B14FE4"/>
    <w:rsid w:val="00B15EDA"/>
    <w:rsid w:val="00B23AFA"/>
    <w:rsid w:val="00B24AA1"/>
    <w:rsid w:val="00B24F05"/>
    <w:rsid w:val="00B26F13"/>
    <w:rsid w:val="00B3437F"/>
    <w:rsid w:val="00B34B3B"/>
    <w:rsid w:val="00B46EFE"/>
    <w:rsid w:val="00B53678"/>
    <w:rsid w:val="00B567F0"/>
    <w:rsid w:val="00B72384"/>
    <w:rsid w:val="00B778E4"/>
    <w:rsid w:val="00B843B1"/>
    <w:rsid w:val="00B913CC"/>
    <w:rsid w:val="00BC1A17"/>
    <w:rsid w:val="00BC26F7"/>
    <w:rsid w:val="00BE0CC1"/>
    <w:rsid w:val="00BF13AC"/>
    <w:rsid w:val="00BF1D2F"/>
    <w:rsid w:val="00BF478D"/>
    <w:rsid w:val="00BF5D19"/>
    <w:rsid w:val="00C04E10"/>
    <w:rsid w:val="00C155F1"/>
    <w:rsid w:val="00C17A67"/>
    <w:rsid w:val="00C40602"/>
    <w:rsid w:val="00C63527"/>
    <w:rsid w:val="00C64F27"/>
    <w:rsid w:val="00C70A32"/>
    <w:rsid w:val="00C80865"/>
    <w:rsid w:val="00C82018"/>
    <w:rsid w:val="00C8286E"/>
    <w:rsid w:val="00CB32C2"/>
    <w:rsid w:val="00CB6732"/>
    <w:rsid w:val="00CC46FC"/>
    <w:rsid w:val="00CC7507"/>
    <w:rsid w:val="00CD6959"/>
    <w:rsid w:val="00CE2EED"/>
    <w:rsid w:val="00CE5630"/>
    <w:rsid w:val="00CF5BF6"/>
    <w:rsid w:val="00D0638D"/>
    <w:rsid w:val="00D132AD"/>
    <w:rsid w:val="00D20038"/>
    <w:rsid w:val="00D3224D"/>
    <w:rsid w:val="00D32651"/>
    <w:rsid w:val="00D3461A"/>
    <w:rsid w:val="00D5391B"/>
    <w:rsid w:val="00D5697F"/>
    <w:rsid w:val="00D608D7"/>
    <w:rsid w:val="00D61110"/>
    <w:rsid w:val="00D70FAB"/>
    <w:rsid w:val="00D75BF5"/>
    <w:rsid w:val="00D764F2"/>
    <w:rsid w:val="00D77982"/>
    <w:rsid w:val="00D80F36"/>
    <w:rsid w:val="00D871C0"/>
    <w:rsid w:val="00D87FAF"/>
    <w:rsid w:val="00D958F2"/>
    <w:rsid w:val="00D962FE"/>
    <w:rsid w:val="00DA7110"/>
    <w:rsid w:val="00DC216A"/>
    <w:rsid w:val="00DD3C50"/>
    <w:rsid w:val="00DD506C"/>
    <w:rsid w:val="00DD5823"/>
    <w:rsid w:val="00DF1403"/>
    <w:rsid w:val="00DF1AB3"/>
    <w:rsid w:val="00DF1DA1"/>
    <w:rsid w:val="00DF2C04"/>
    <w:rsid w:val="00E03369"/>
    <w:rsid w:val="00E2100C"/>
    <w:rsid w:val="00E26B34"/>
    <w:rsid w:val="00E33353"/>
    <w:rsid w:val="00E342D3"/>
    <w:rsid w:val="00E3567D"/>
    <w:rsid w:val="00E42640"/>
    <w:rsid w:val="00E46087"/>
    <w:rsid w:val="00E50211"/>
    <w:rsid w:val="00E57979"/>
    <w:rsid w:val="00E62399"/>
    <w:rsid w:val="00E76F85"/>
    <w:rsid w:val="00E84544"/>
    <w:rsid w:val="00E951C1"/>
    <w:rsid w:val="00EA5CAB"/>
    <w:rsid w:val="00EC22C7"/>
    <w:rsid w:val="00ED0A3D"/>
    <w:rsid w:val="00EE39CC"/>
    <w:rsid w:val="00EF3CA7"/>
    <w:rsid w:val="00EF42F0"/>
    <w:rsid w:val="00F16C99"/>
    <w:rsid w:val="00F22C46"/>
    <w:rsid w:val="00F2315B"/>
    <w:rsid w:val="00F2328B"/>
    <w:rsid w:val="00F23463"/>
    <w:rsid w:val="00F26A57"/>
    <w:rsid w:val="00F31439"/>
    <w:rsid w:val="00F42AF6"/>
    <w:rsid w:val="00F43AAB"/>
    <w:rsid w:val="00F47CBB"/>
    <w:rsid w:val="00F47DA8"/>
    <w:rsid w:val="00F50E00"/>
    <w:rsid w:val="00F52195"/>
    <w:rsid w:val="00F602D5"/>
    <w:rsid w:val="00F603A2"/>
    <w:rsid w:val="00F64D70"/>
    <w:rsid w:val="00F656FE"/>
    <w:rsid w:val="00F82A74"/>
    <w:rsid w:val="00FC0B56"/>
    <w:rsid w:val="00FC321D"/>
    <w:rsid w:val="00FD70DE"/>
    <w:rsid w:val="00FE2425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36016"/>
  <w15:docId w15:val="{B3522001-94DB-408B-AFB8-F7F89E95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2EA"/>
    <w:rPr>
      <w:lang w:val="es-ES" w:eastAsia="es-ES"/>
    </w:rPr>
  </w:style>
  <w:style w:type="paragraph" w:styleId="Ttol1">
    <w:name w:val="heading 1"/>
    <w:basedOn w:val="Normal"/>
    <w:next w:val="Normal"/>
    <w:autoRedefine/>
    <w:qFormat/>
    <w:rsid w:val="006E12EA"/>
    <w:pPr>
      <w:keepNext/>
      <w:numPr>
        <w:numId w:val="1"/>
      </w:numPr>
      <w:spacing w:before="240" w:after="60"/>
      <w:outlineLvl w:val="0"/>
    </w:pPr>
    <w:rPr>
      <w:rFonts w:ascii="Univers" w:hAnsi="Univers"/>
      <w:b/>
      <w:kern w:val="28"/>
      <w:sz w:val="28"/>
      <w:lang w:val="ca-ES"/>
    </w:rPr>
  </w:style>
  <w:style w:type="paragraph" w:styleId="Ttol2">
    <w:name w:val="heading 2"/>
    <w:basedOn w:val="Normal"/>
    <w:next w:val="Normal"/>
    <w:qFormat/>
    <w:rsid w:val="006E12EA"/>
    <w:pPr>
      <w:keepNext/>
      <w:numPr>
        <w:ilvl w:val="1"/>
        <w:numId w:val="1"/>
      </w:numPr>
      <w:outlineLvl w:val="1"/>
    </w:pPr>
    <w:rPr>
      <w:rFonts w:ascii="Univers" w:hAnsi="Univers"/>
      <w:b/>
      <w:lang w:val="ca-ES"/>
    </w:rPr>
  </w:style>
  <w:style w:type="paragraph" w:styleId="Ttol3">
    <w:name w:val="heading 3"/>
    <w:basedOn w:val="Normal"/>
    <w:next w:val="Normal"/>
    <w:autoRedefine/>
    <w:qFormat/>
    <w:rsid w:val="006E12EA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i/>
      <w:iCs/>
      <w:lang w:val="ca-ES"/>
    </w:rPr>
  </w:style>
  <w:style w:type="paragraph" w:styleId="Ttol4">
    <w:name w:val="heading 4"/>
    <w:basedOn w:val="Normal"/>
    <w:next w:val="Normal"/>
    <w:qFormat/>
    <w:rsid w:val="006E12E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ol5">
    <w:name w:val="heading 5"/>
    <w:basedOn w:val="Normal"/>
    <w:next w:val="Normal"/>
    <w:qFormat/>
    <w:rsid w:val="006E12E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ol6">
    <w:name w:val="heading 6"/>
    <w:basedOn w:val="Normal"/>
    <w:next w:val="Normal"/>
    <w:qFormat/>
    <w:rsid w:val="006E12E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ol7">
    <w:name w:val="heading 7"/>
    <w:basedOn w:val="Normal"/>
    <w:next w:val="Normal"/>
    <w:qFormat/>
    <w:rsid w:val="006E12E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qFormat/>
    <w:rsid w:val="006E12E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qFormat/>
    <w:rsid w:val="006E12E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6E12EA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6E12EA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semiHidden/>
    <w:rsid w:val="006E12EA"/>
    <w:rPr>
      <w:color w:val="0000FF"/>
      <w:u w:val="single"/>
    </w:rPr>
  </w:style>
  <w:style w:type="character" w:styleId="Nmerodepgina">
    <w:name w:val="page number"/>
    <w:basedOn w:val="Tipusdelletraperdefectedelpargraf"/>
    <w:semiHidden/>
    <w:rsid w:val="006E12EA"/>
  </w:style>
  <w:style w:type="paragraph" w:styleId="Textdenotaapeudepgina">
    <w:name w:val="footnote text"/>
    <w:basedOn w:val="Normal"/>
    <w:semiHidden/>
    <w:rsid w:val="006E12EA"/>
  </w:style>
  <w:style w:type="character" w:styleId="Refernciadenotaapeudepgina">
    <w:name w:val="footnote reference"/>
    <w:basedOn w:val="Tipusdelletraperdefectedelpargraf"/>
    <w:semiHidden/>
    <w:rsid w:val="006E12EA"/>
    <w:rPr>
      <w:vertAlign w:val="superscript"/>
    </w:rPr>
  </w:style>
  <w:style w:type="paragraph" w:styleId="Textindependent">
    <w:name w:val="Body Text"/>
    <w:basedOn w:val="Normal"/>
    <w:semiHidden/>
    <w:rsid w:val="006E12EA"/>
    <w:pPr>
      <w:jc w:val="both"/>
    </w:pPr>
    <w:rPr>
      <w:rFonts w:ascii="Univers" w:hAnsi="Univers"/>
      <w:lang w:val="ca-ES"/>
    </w:rPr>
  </w:style>
  <w:style w:type="paragraph" w:customStyle="1" w:styleId="OmniPage1">
    <w:name w:val="OmniPage #1"/>
    <w:basedOn w:val="Normal"/>
    <w:rsid w:val="006E12EA"/>
    <w:pPr>
      <w:spacing w:line="400" w:lineRule="exact"/>
    </w:pPr>
    <w:rPr>
      <w:rFonts w:ascii="Tahoma" w:hAnsi="Tahoma"/>
      <w:noProof/>
    </w:rPr>
  </w:style>
  <w:style w:type="paragraph" w:customStyle="1" w:styleId="OmniPage2">
    <w:name w:val="OmniPage #2"/>
    <w:basedOn w:val="Normal"/>
    <w:rsid w:val="006E12EA"/>
    <w:pPr>
      <w:spacing w:line="420" w:lineRule="exact"/>
    </w:pPr>
    <w:rPr>
      <w:rFonts w:ascii="Tahoma" w:hAnsi="Tahoma"/>
      <w:noProof/>
    </w:rPr>
  </w:style>
  <w:style w:type="paragraph" w:customStyle="1" w:styleId="OmniPage3">
    <w:name w:val="OmniPage #3"/>
    <w:basedOn w:val="Normal"/>
    <w:rsid w:val="006E12EA"/>
    <w:pPr>
      <w:spacing w:line="420" w:lineRule="exact"/>
    </w:pPr>
    <w:rPr>
      <w:rFonts w:ascii="Tahoma" w:hAnsi="Tahoma"/>
      <w:noProof/>
    </w:rPr>
  </w:style>
  <w:style w:type="paragraph" w:styleId="Textindependent2">
    <w:name w:val="Body Text 2"/>
    <w:basedOn w:val="Normal"/>
    <w:semiHidden/>
    <w:rsid w:val="006E12EA"/>
    <w:rPr>
      <w:rFonts w:ascii="Univers" w:hAnsi="Univers"/>
      <w:b/>
      <w:lang w:val="ca-ES"/>
    </w:rPr>
  </w:style>
  <w:style w:type="paragraph" w:styleId="Textindependent3">
    <w:name w:val="Body Text 3"/>
    <w:basedOn w:val="Normal"/>
    <w:semiHidden/>
    <w:rsid w:val="006E12EA"/>
    <w:pPr>
      <w:jc w:val="both"/>
    </w:pPr>
    <w:rPr>
      <w:rFonts w:ascii="Arial" w:hAnsi="Arial" w:cs="Arial"/>
      <w:sz w:val="22"/>
      <w:lang w:val="ca-ES"/>
    </w:rPr>
  </w:style>
  <w:style w:type="paragraph" w:styleId="Pargrafdellista">
    <w:name w:val="List Paragraph"/>
    <w:basedOn w:val="Normal"/>
    <w:uiPriority w:val="34"/>
    <w:qFormat/>
    <w:rsid w:val="002C414F"/>
    <w:pPr>
      <w:ind w:left="720"/>
      <w:contextualSpacing/>
    </w:pPr>
  </w:style>
  <w:style w:type="character" w:customStyle="1" w:styleId="CapaleraCar">
    <w:name w:val="Capçalera Car"/>
    <w:basedOn w:val="Tipusdelletraperdefectedelpargraf"/>
    <w:link w:val="Capalera"/>
    <w:rsid w:val="00026C1A"/>
    <w:rPr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26C1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26C1A"/>
    <w:rPr>
      <w:rFonts w:ascii="Tahoma" w:hAnsi="Tahoma" w:cs="Tahoma"/>
      <w:sz w:val="16"/>
      <w:szCs w:val="16"/>
      <w:lang w:val="es-ES" w:eastAsia="es-ES"/>
    </w:rPr>
  </w:style>
  <w:style w:type="table" w:styleId="Taulaambquadrcula">
    <w:name w:val="Table Grid"/>
    <w:basedOn w:val="Taulanormal"/>
    <w:uiPriority w:val="59"/>
    <w:rsid w:val="004A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B24AA1"/>
    <w:pPr>
      <w:spacing w:after="324"/>
    </w:pPr>
    <w:rPr>
      <w:sz w:val="24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3501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3501D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3501D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3501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3501D"/>
    <w:rPr>
      <w:b/>
      <w:bCs/>
      <w:lang w:val="es-ES" w:eastAsia="es-ES"/>
    </w:rPr>
  </w:style>
  <w:style w:type="paragraph" w:styleId="Revisi">
    <w:name w:val="Revision"/>
    <w:hidden/>
    <w:uiPriority w:val="99"/>
    <w:semiHidden/>
    <w:rsid w:val="00A068BC"/>
    <w:rPr>
      <w:lang w:val="es-ES" w:eastAsia="es-ES"/>
    </w:rPr>
  </w:style>
  <w:style w:type="paragraph" w:customStyle="1" w:styleId="Default">
    <w:name w:val="Default"/>
    <w:basedOn w:val="Normal"/>
    <w:rsid w:val="00294EE3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paragraph" w:customStyle="1" w:styleId="Textodenotaalfinal">
    <w:name w:val="Texto de nota al final"/>
    <w:basedOn w:val="Normal"/>
    <w:rsid w:val="00B778E4"/>
    <w:pPr>
      <w:widowControl w:val="0"/>
    </w:pPr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Office\Dictdo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F6E1-589A-4993-887D-C2193730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17</TotalTime>
  <Pages>5</Pages>
  <Words>1661</Words>
  <Characters>9589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 CATALÀ DE RECERCA I DESENVOLUPAMENT EN TÈCNIQUES ENERGÈTIQUES</vt:lpstr>
      <vt:lpstr>PLA CATALÀ DE RECERCA I DESENVOLUPAMENT EN TÈCNIQUES ENERGÈTIQUES</vt:lpstr>
    </vt:vector>
  </TitlesOfParts>
  <Company>CTTI</Company>
  <LinksUpToDate>false</LinksUpToDate>
  <CharactersWithSpaces>11228</CharactersWithSpaces>
  <SharedDoc>false</SharedDoc>
  <HLinks>
    <vt:vector size="12" baseType="variant">
      <vt:variant>
        <vt:i4>6881347</vt:i4>
      </vt:variant>
      <vt:variant>
        <vt:i4>3</vt:i4>
      </vt:variant>
      <vt:variant>
        <vt:i4>0</vt:i4>
      </vt:variant>
      <vt:variant>
        <vt:i4>5</vt:i4>
      </vt:variant>
      <vt:variant>
        <vt:lpwstr>mailto:ptorres@ecoterm.cat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http://www.ecoterm.cat/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 CATALÀ DE RECERCA I DESENVOLUPAMENT EN TÈCNIQUES ENERGÈTIQUES</dc:title>
  <dc:creator>.</dc:creator>
  <cp:lastModifiedBy>Tuset Martorell, Marc</cp:lastModifiedBy>
  <cp:revision>5</cp:revision>
  <cp:lastPrinted>2018-04-17T09:03:00Z</cp:lastPrinted>
  <dcterms:created xsi:type="dcterms:W3CDTF">2025-11-28T07:18:00Z</dcterms:created>
  <dcterms:modified xsi:type="dcterms:W3CDTF">2026-02-06T09:24:00Z</dcterms:modified>
</cp:coreProperties>
</file>