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DBD2" w14:textId="77777777" w:rsidR="00027B38" w:rsidRPr="00661768" w:rsidRDefault="00027B38" w:rsidP="00027B38">
      <w:pPr>
        <w:keepNext/>
        <w:keepLines/>
        <w:autoSpaceDE w:val="0"/>
        <w:autoSpaceDN w:val="0"/>
        <w:adjustRightInd w:val="0"/>
        <w:outlineLvl w:val="0"/>
        <w:rPr>
          <w:rFonts w:cs="Arial"/>
          <w:b/>
          <w:color w:val="000000"/>
          <w:u w:val="single"/>
        </w:rPr>
      </w:pPr>
      <w:bookmarkStart w:id="0" w:name="_Toc98326268"/>
      <w:bookmarkStart w:id="1" w:name="_Toc105150841"/>
      <w:r w:rsidRPr="00661768">
        <w:rPr>
          <w:rFonts w:cs="Arial"/>
          <w:b/>
          <w:color w:val="000000"/>
          <w:u w:val="single"/>
        </w:rPr>
        <w:t xml:space="preserve">ANNEX </w:t>
      </w:r>
      <w:r>
        <w:rPr>
          <w:rFonts w:cs="Arial"/>
          <w:b/>
          <w:color w:val="000000"/>
          <w:u w:val="single"/>
        </w:rPr>
        <w:t>2</w:t>
      </w:r>
      <w:r w:rsidRPr="00661768">
        <w:rPr>
          <w:rFonts w:cs="Arial"/>
          <w:b/>
          <w:color w:val="000000"/>
          <w:u w:val="single"/>
        </w:rPr>
        <w:t>- MODEL DE CRITERIS AUTOMÀTICS</w:t>
      </w:r>
      <w:bookmarkEnd w:id="0"/>
      <w:bookmarkEnd w:id="1"/>
      <w:r>
        <w:rPr>
          <w:rFonts w:cs="Arial"/>
          <w:b/>
          <w:color w:val="000000"/>
          <w:u w:val="single"/>
        </w:rPr>
        <w:t>. LOT 2</w:t>
      </w:r>
    </w:p>
    <w:p w14:paraId="19F1BE70" w14:textId="77777777" w:rsidR="00027B38" w:rsidRPr="00661768" w:rsidRDefault="00027B38" w:rsidP="00027B38">
      <w:pPr>
        <w:rPr>
          <w:rFonts w:cs="Arial"/>
          <w:color w:val="000000"/>
        </w:rPr>
      </w:pPr>
    </w:p>
    <w:p w14:paraId="6A239C89" w14:textId="64EF1380" w:rsidR="00027B38" w:rsidRPr="00027B38" w:rsidRDefault="00027B38" w:rsidP="00027B38">
      <w:pPr>
        <w:rPr>
          <w:rFonts w:cs="Arial"/>
          <w:b/>
        </w:rPr>
      </w:pPr>
      <w:r w:rsidRPr="00661768">
        <w:rPr>
          <w:rFonts w:cs="Arial"/>
          <w:color w:val="000000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661768">
        <w:rPr>
          <w:rFonts w:cs="Arial"/>
          <w:color w:val="000000"/>
        </w:rPr>
        <w:t>ada</w:t>
      </w:r>
      <w:proofErr w:type="spellEnd"/>
      <w:r w:rsidRPr="00661768">
        <w:rPr>
          <w:rFonts w:cs="Arial"/>
          <w:color w:val="000000"/>
        </w:rPr>
        <w:t xml:space="preserve"> de les condicions i els requisits que s’exigeixen per poder ser l’empresa adjudicatària de la </w:t>
      </w:r>
      <w:r w:rsidRPr="00661768">
        <w:rPr>
          <w:rFonts w:cs="Arial"/>
          <w:bCs/>
        </w:rPr>
        <w:t xml:space="preserve">contractació </w:t>
      </w:r>
      <w:r w:rsidRPr="002D5B59">
        <w:rPr>
          <w:b/>
        </w:rPr>
        <w:t>del</w:t>
      </w:r>
      <w:r w:rsidRPr="002D5B59">
        <w:rPr>
          <w:rFonts w:cs="Arial"/>
          <w:b/>
        </w:rPr>
        <w:t xml:space="preserve"> servei </w:t>
      </w:r>
      <w:r w:rsidRPr="002D5B59">
        <w:rPr>
          <w:b/>
          <w:bCs/>
        </w:rPr>
        <w:t xml:space="preserve">de gestió de la bonificació davant FUNDAE i assessorament en matèria de formació (Lot 1), així com de la creació, actualització, gestió i </w:t>
      </w:r>
      <w:proofErr w:type="spellStart"/>
      <w:r w:rsidRPr="002D5B59">
        <w:rPr>
          <w:b/>
          <w:bCs/>
        </w:rPr>
        <w:t>tutorització</w:t>
      </w:r>
      <w:proofErr w:type="spellEnd"/>
      <w:r w:rsidRPr="002D5B59">
        <w:rPr>
          <w:b/>
          <w:bCs/>
        </w:rPr>
        <w:t xml:space="preserve"> de cursos per plataforma e-</w:t>
      </w:r>
      <w:proofErr w:type="spellStart"/>
      <w:r w:rsidRPr="002D5B59">
        <w:rPr>
          <w:b/>
          <w:bCs/>
        </w:rPr>
        <w:t>learning</w:t>
      </w:r>
      <w:proofErr w:type="spellEnd"/>
      <w:r w:rsidRPr="002D5B59">
        <w:rPr>
          <w:b/>
          <w:bCs/>
        </w:rPr>
        <w:t xml:space="preserve"> (Lot 2) per a</w:t>
      </w:r>
      <w:r w:rsidRPr="002D5B59">
        <w:rPr>
          <w:rFonts w:cs="Arial"/>
          <w:b/>
        </w:rPr>
        <w:t xml:space="preserve"> SUMAR, Serveis Públics d’Acció Social de Catalunya MP, SL, mitjançant procediment obert simplificat, amb </w:t>
      </w:r>
      <w:r w:rsidRPr="002D5B59">
        <w:rPr>
          <w:rFonts w:cs="Calibri"/>
          <w:b/>
        </w:rPr>
        <w:t>diversos criteris</w:t>
      </w:r>
      <w:r w:rsidRPr="002D5B59">
        <w:rPr>
          <w:rFonts w:cs="Arial"/>
          <w:b/>
        </w:rPr>
        <w:t xml:space="preserve"> d’adjudicació</w:t>
      </w:r>
      <w:r>
        <w:rPr>
          <w:rFonts w:cs="Arial"/>
          <w:b/>
        </w:rPr>
        <w:t xml:space="preserve">, </w:t>
      </w:r>
      <w:r w:rsidRPr="00661768">
        <w:rPr>
          <w:rFonts w:cs="Arial"/>
          <w:color w:val="000000"/>
        </w:rPr>
        <w:t xml:space="preserve">i es compromet a executar-lo amb estricta subjecció als requisits i condicions estipulats, i amb la següent oferta econòmica: </w:t>
      </w:r>
    </w:p>
    <w:p w14:paraId="73392967" w14:textId="77777777" w:rsidR="00027B38" w:rsidRDefault="00027B38" w:rsidP="00027B38">
      <w:pPr>
        <w:rPr>
          <w:rFonts w:cs="Arial"/>
          <w:color w:val="000000"/>
        </w:rPr>
      </w:pPr>
    </w:p>
    <w:p w14:paraId="701BDDDE" w14:textId="77777777" w:rsidR="00027B38" w:rsidRPr="00E05F3D" w:rsidRDefault="00027B38" w:rsidP="00027B38">
      <w:pPr>
        <w:ind w:left="567"/>
        <w:rPr>
          <w:rFonts w:cs="Arial"/>
          <w:b/>
        </w:rPr>
      </w:pPr>
    </w:p>
    <w:p w14:paraId="781B7AD1" w14:textId="77777777" w:rsidR="00027B38" w:rsidRPr="00E05F3D" w:rsidRDefault="00027B38" w:rsidP="00027B38">
      <w:pPr>
        <w:widowControl w:val="0"/>
        <w:numPr>
          <w:ilvl w:val="0"/>
          <w:numId w:val="3"/>
        </w:numPr>
        <w:suppressAutoHyphens/>
        <w:spacing w:line="276" w:lineRule="auto"/>
      </w:pPr>
      <w:r w:rsidRPr="00E05F3D">
        <w:rPr>
          <w:rFonts w:cs="Calibri"/>
        </w:rPr>
        <w:t xml:space="preserve">El preu indicat al Plec de Clàusules Administratives és un màxim, les empreses licitadores hauran d’oferir un preu igual o a la baixa en relació a cada referència o servei, essent excloses les ofertes que incloguin ofertes superiors. </w:t>
      </w:r>
    </w:p>
    <w:p w14:paraId="514396CA" w14:textId="77777777" w:rsidR="00027B38" w:rsidRPr="00E05F3D" w:rsidRDefault="00027B38" w:rsidP="00027B38">
      <w:pPr>
        <w:ind w:left="567"/>
        <w:rPr>
          <w:rFonts w:cs="Arial"/>
          <w:b/>
        </w:rPr>
      </w:pPr>
    </w:p>
    <w:p w14:paraId="28FCAEC2" w14:textId="77777777" w:rsidR="00027B38" w:rsidRPr="00E05F3D" w:rsidRDefault="00027B38" w:rsidP="00027B38">
      <w:pPr>
        <w:widowControl w:val="0"/>
        <w:numPr>
          <w:ilvl w:val="0"/>
          <w:numId w:val="3"/>
        </w:numPr>
        <w:suppressAutoHyphens/>
        <w:spacing w:line="276" w:lineRule="auto"/>
      </w:pPr>
      <w:r w:rsidRPr="00E05F3D">
        <w:t>Els preus s’indicaran amb dos un màxim de dos decimals, essent excloses les ofertes econòmiques quin percentatge contingui més de dos decimals.</w:t>
      </w:r>
    </w:p>
    <w:p w14:paraId="00C9071F" w14:textId="77777777" w:rsidR="00027B38" w:rsidRPr="00E05F3D" w:rsidRDefault="00027B38" w:rsidP="00027B38">
      <w:pPr>
        <w:ind w:left="567"/>
      </w:pPr>
    </w:p>
    <w:p w14:paraId="3B22DE0B" w14:textId="77777777" w:rsidR="00027B38" w:rsidRPr="00E05F3D" w:rsidRDefault="00027B38" w:rsidP="00027B38">
      <w:pPr>
        <w:widowControl w:val="0"/>
        <w:numPr>
          <w:ilvl w:val="0"/>
          <w:numId w:val="3"/>
        </w:numPr>
        <w:suppressAutoHyphens/>
        <w:spacing w:line="276" w:lineRule="auto"/>
      </w:pPr>
      <w:r w:rsidRPr="00E05F3D">
        <w:t>Cal que les empreses licitadores que es presentin estiguin en condicions de prestar la totalitat dels s</w:t>
      </w:r>
      <w:r>
        <w:t>ubministraments</w:t>
      </w:r>
      <w:r w:rsidRPr="00E05F3D">
        <w:t xml:space="preserve"> del lot al que opten.</w:t>
      </w:r>
    </w:p>
    <w:p w14:paraId="43AD2529" w14:textId="77777777" w:rsidR="00027B38" w:rsidRPr="00661768" w:rsidRDefault="00027B38" w:rsidP="00027B38">
      <w:pPr>
        <w:rPr>
          <w:rFonts w:cs="Arial"/>
          <w:color w:val="000000"/>
        </w:rPr>
      </w:pPr>
    </w:p>
    <w:p w14:paraId="6477810A" w14:textId="77777777" w:rsidR="00027B38" w:rsidRPr="00D76327" w:rsidRDefault="00027B38" w:rsidP="00027B38">
      <w:pPr>
        <w:rPr>
          <w:rFonts w:cs="Arial"/>
          <w:b/>
          <w:highlight w:val="yellow"/>
        </w:rPr>
      </w:pPr>
    </w:p>
    <w:p w14:paraId="579E5318" w14:textId="77777777" w:rsidR="00027B38" w:rsidRDefault="00027B38" w:rsidP="00027B38">
      <w:pPr>
        <w:numPr>
          <w:ilvl w:val="0"/>
          <w:numId w:val="4"/>
        </w:numPr>
        <w:tabs>
          <w:tab w:val="left" w:pos="567"/>
        </w:tabs>
        <w:spacing w:after="160" w:line="259" w:lineRule="auto"/>
        <w:ind w:left="567" w:hanging="567"/>
      </w:pPr>
      <w:r w:rsidRPr="00D86FC3">
        <w:rPr>
          <w:b/>
          <w:bCs/>
          <w:u w:val="single"/>
        </w:rPr>
        <w:t>Oferta econòmica</w:t>
      </w:r>
      <w:r w:rsidRPr="00D86FC3">
        <w:rPr>
          <w:b/>
          <w:bCs/>
        </w:rPr>
        <w:t>.</w:t>
      </w:r>
      <w:r>
        <w:t xml:space="preserve"> </w:t>
      </w:r>
      <w:r w:rsidRPr="00D86FC3">
        <w:rPr>
          <w:b/>
        </w:rPr>
        <w:t xml:space="preserve">Fins a </w:t>
      </w:r>
      <w:r>
        <w:rPr>
          <w:b/>
        </w:rPr>
        <w:t>70</w:t>
      </w:r>
      <w:r w:rsidRPr="00D86FC3">
        <w:rPr>
          <w:b/>
        </w:rPr>
        <w:t xml:space="preserve"> punts</w:t>
      </w:r>
      <w:r>
        <w:t>.</w:t>
      </w:r>
    </w:p>
    <w:p w14:paraId="6FE6A039" w14:textId="77777777" w:rsidR="00027B38" w:rsidRDefault="00027B38" w:rsidP="00027B38">
      <w:pPr>
        <w:tabs>
          <w:tab w:val="left" w:pos="567"/>
        </w:tabs>
        <w:spacing w:after="160" w:line="259" w:lineRule="auto"/>
      </w:pPr>
      <w:r>
        <w:t xml:space="preserve">Pressupost Licitació: </w:t>
      </w:r>
    </w:p>
    <w:tbl>
      <w:tblPr>
        <w:tblW w:w="506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0"/>
        <w:gridCol w:w="1704"/>
        <w:gridCol w:w="1472"/>
        <w:gridCol w:w="1622"/>
      </w:tblGrid>
      <w:tr w:rsidR="00027B38" w:rsidRPr="004948C5" w14:paraId="04A36062" w14:textId="77777777" w:rsidTr="003A315E">
        <w:trPr>
          <w:trHeight w:val="1177"/>
          <w:jc w:val="center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/>
            <w:noWrap/>
            <w:vAlign w:val="center"/>
            <w:hideMark/>
          </w:tcPr>
          <w:p w14:paraId="395203AA" w14:textId="77777777" w:rsidR="00027B38" w:rsidRPr="004948C5" w:rsidRDefault="00027B38" w:rsidP="003A315E">
            <w:pPr>
              <w:jc w:val="center"/>
              <w:rPr>
                <w:rFonts w:eastAsia="Times New Roman"/>
                <w:b/>
                <w:bCs/>
                <w:color w:val="000000"/>
                <w:lang w:eastAsia="ca-ES"/>
              </w:rPr>
            </w:pPr>
            <w:r>
              <w:rPr>
                <w:rFonts w:eastAsia="Times New Roman"/>
                <w:b/>
                <w:bCs/>
                <w:color w:val="000000"/>
                <w:lang w:eastAsia="ca-ES"/>
              </w:rPr>
              <w:t>Concepte</w:t>
            </w:r>
            <w:r w:rsidRPr="004948C5">
              <w:rPr>
                <w:rFonts w:eastAsia="Times New Roman"/>
                <w:b/>
                <w:bCs/>
                <w:color w:val="000000"/>
                <w:lang w:eastAsia="ca-ES"/>
              </w:rPr>
              <w:t xml:space="preserve"> 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/>
            <w:vAlign w:val="center"/>
            <w:hideMark/>
          </w:tcPr>
          <w:p w14:paraId="1A636ECC" w14:textId="77777777" w:rsidR="00027B38" w:rsidRPr="004948C5" w:rsidRDefault="00027B38" w:rsidP="003A315E">
            <w:pPr>
              <w:jc w:val="center"/>
              <w:rPr>
                <w:rFonts w:eastAsia="Times New Roman"/>
                <w:b/>
                <w:bCs/>
                <w:color w:val="000000"/>
                <w:lang w:eastAsia="ca-ES"/>
              </w:rPr>
            </w:pPr>
            <w:r>
              <w:rPr>
                <w:rFonts w:eastAsia="Times New Roman"/>
                <w:b/>
                <w:bCs/>
                <w:color w:val="000000"/>
                <w:lang w:eastAsia="ca-ES"/>
              </w:rPr>
              <w:t>Preu unitari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/>
            <w:vAlign w:val="center"/>
            <w:hideMark/>
          </w:tcPr>
          <w:p w14:paraId="739E5103" w14:textId="77777777" w:rsidR="00027B38" w:rsidRPr="004948C5" w:rsidRDefault="00027B38" w:rsidP="003A315E">
            <w:pPr>
              <w:jc w:val="center"/>
              <w:rPr>
                <w:rFonts w:eastAsia="Times New Roman"/>
                <w:b/>
                <w:bCs/>
                <w:color w:val="000000"/>
                <w:lang w:eastAsia="ca-ES"/>
              </w:rPr>
            </w:pPr>
            <w:r>
              <w:rPr>
                <w:rFonts w:eastAsia="Times New Roman"/>
                <w:b/>
                <w:bCs/>
                <w:color w:val="000000"/>
                <w:lang w:eastAsia="ca-ES"/>
              </w:rPr>
              <w:t>Previsió anual màxima aproximada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/>
            <w:noWrap/>
            <w:vAlign w:val="center"/>
            <w:hideMark/>
          </w:tcPr>
          <w:p w14:paraId="1B96D62E" w14:textId="77777777" w:rsidR="00027B38" w:rsidRPr="004948C5" w:rsidRDefault="00027B38" w:rsidP="003A315E">
            <w:pPr>
              <w:jc w:val="center"/>
              <w:rPr>
                <w:rFonts w:eastAsia="Times New Roman"/>
                <w:b/>
                <w:bCs/>
                <w:color w:val="000000"/>
                <w:lang w:eastAsia="ca-ES"/>
              </w:rPr>
            </w:pPr>
            <w:r w:rsidRPr="004948C5">
              <w:rPr>
                <w:rFonts w:eastAsia="Times New Roman"/>
                <w:b/>
                <w:bCs/>
                <w:color w:val="000000"/>
                <w:lang w:eastAsia="ca-ES"/>
              </w:rPr>
              <w:t xml:space="preserve">Total </w:t>
            </w:r>
          </w:p>
        </w:tc>
      </w:tr>
      <w:tr w:rsidR="00027B38" w:rsidRPr="004948C5" w14:paraId="56D18AB8" w14:textId="77777777" w:rsidTr="003A315E">
        <w:trPr>
          <w:trHeight w:val="295"/>
          <w:jc w:val="center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52F86" w14:textId="77777777" w:rsidR="00027B38" w:rsidRPr="004948C5" w:rsidRDefault="00027B38" w:rsidP="003A315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proofErr w:type="spellStart"/>
            <w:r>
              <w:rPr>
                <w:rFonts w:eastAsia="Times New Roman"/>
                <w:color w:val="000000"/>
                <w:lang w:eastAsia="ca-ES"/>
              </w:rPr>
              <w:t>Tutorització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 xml:space="preserve"> formació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CE9B1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500,00€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E061E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10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D6613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5.000,00 €</w:t>
            </w:r>
          </w:p>
        </w:tc>
      </w:tr>
      <w:tr w:rsidR="00027B38" w:rsidRPr="004948C5" w14:paraId="1E387D5D" w14:textId="77777777" w:rsidTr="003A315E">
        <w:trPr>
          <w:trHeight w:val="78"/>
          <w:jc w:val="center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387F1" w14:textId="77777777" w:rsidR="00027B38" w:rsidRPr="004948C5" w:rsidRDefault="00027B38" w:rsidP="003A315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Creació de continguts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2ECE3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900,00€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68D1D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5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08AC6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4.500,00 €</w:t>
            </w:r>
          </w:p>
        </w:tc>
      </w:tr>
      <w:tr w:rsidR="00027B38" w:rsidRPr="004948C5" w14:paraId="3EE30785" w14:textId="77777777" w:rsidTr="003A315E">
        <w:trPr>
          <w:trHeight w:val="295"/>
          <w:jc w:val="center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E0B70" w14:textId="77777777" w:rsidR="00027B38" w:rsidRPr="004948C5" w:rsidRDefault="00027B38" w:rsidP="003A315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Actualització de continguts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9B071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100,00€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29020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01ADB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500,00 €</w:t>
            </w:r>
          </w:p>
        </w:tc>
      </w:tr>
      <w:tr w:rsidR="00027B38" w:rsidRPr="004948C5" w14:paraId="2068F201" w14:textId="77777777" w:rsidTr="003A315E">
        <w:trPr>
          <w:trHeight w:val="295"/>
          <w:jc w:val="center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4497E" w14:textId="77777777" w:rsidR="00027B38" w:rsidRPr="004948C5" w:rsidRDefault="00027B38" w:rsidP="003A315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Configuració millores per facilitar MOODLE per SUMAE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43EE5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600,00€</w:t>
            </w: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D7BAE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EADA8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600,00€</w:t>
            </w:r>
          </w:p>
        </w:tc>
      </w:tr>
      <w:tr w:rsidR="00027B38" w:rsidRPr="004948C5" w14:paraId="22B91155" w14:textId="77777777" w:rsidTr="003A315E">
        <w:trPr>
          <w:trHeight w:val="295"/>
          <w:jc w:val="center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8E075" w14:textId="77777777" w:rsidR="00027B38" w:rsidRPr="004948C5" w:rsidRDefault="00027B38" w:rsidP="003A315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Despeses eventuals (previsió 20% del total)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7EF60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70DEA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DB441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2.120,00€</w:t>
            </w:r>
          </w:p>
        </w:tc>
      </w:tr>
      <w:tr w:rsidR="00027B38" w:rsidRPr="004948C5" w14:paraId="4CC24027" w14:textId="77777777" w:rsidTr="003A315E">
        <w:trPr>
          <w:trHeight w:val="295"/>
          <w:jc w:val="center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ABD0D" w14:textId="77777777" w:rsidR="00027B38" w:rsidRPr="004948C5" w:rsidRDefault="00027B38" w:rsidP="003A315E">
            <w:pPr>
              <w:jc w:val="left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36706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44012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AEC25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</w:tr>
      <w:tr w:rsidR="00027B38" w14:paraId="6FAA297B" w14:textId="77777777" w:rsidTr="003A315E">
        <w:trPr>
          <w:trHeight w:val="295"/>
          <w:jc w:val="center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323E39F" w14:textId="77777777" w:rsidR="00027B38" w:rsidRPr="00B77CA4" w:rsidRDefault="00027B38" w:rsidP="003A315E">
            <w:pPr>
              <w:jc w:val="left"/>
              <w:rPr>
                <w:rFonts w:eastAsia="Times New Roman"/>
                <w:b/>
                <w:bCs/>
                <w:color w:val="000000"/>
                <w:lang w:eastAsia="ca-ES"/>
              </w:rPr>
            </w:pPr>
            <w:r>
              <w:rPr>
                <w:rFonts w:eastAsia="Times New Roman"/>
                <w:b/>
                <w:bCs/>
                <w:color w:val="000000"/>
                <w:lang w:eastAsia="ca-ES"/>
              </w:rPr>
              <w:t xml:space="preserve">TOTAL 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2E0213B" w14:textId="77777777" w:rsidR="00027B38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B679F71" w14:textId="77777777" w:rsidR="00027B38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15C5EB6" w14:textId="77777777" w:rsidR="00027B38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12.720,00€</w:t>
            </w:r>
          </w:p>
        </w:tc>
      </w:tr>
    </w:tbl>
    <w:p w14:paraId="6E064AD1" w14:textId="77777777" w:rsidR="00027B38" w:rsidRDefault="00027B38" w:rsidP="00027B38"/>
    <w:p w14:paraId="24D23B86" w14:textId="77777777" w:rsidR="00027B38" w:rsidRDefault="00027B38" w:rsidP="00027B38">
      <w:pPr>
        <w:rPr>
          <w:rFonts w:cs="Arial"/>
          <w:bCs/>
        </w:rPr>
      </w:pPr>
    </w:p>
    <w:p w14:paraId="30424A57" w14:textId="77777777" w:rsidR="00027B38" w:rsidRDefault="00027B38" w:rsidP="00027B38">
      <w:pPr>
        <w:rPr>
          <w:rFonts w:cs="Arial"/>
          <w:b/>
          <w:highlight w:val="yellow"/>
        </w:rPr>
      </w:pPr>
    </w:p>
    <w:p w14:paraId="7A2AAA18" w14:textId="77777777" w:rsidR="00027B38" w:rsidRPr="00A0752B" w:rsidRDefault="00027B38" w:rsidP="00027B38">
      <w:pPr>
        <w:autoSpaceDE w:val="0"/>
        <w:autoSpaceDN w:val="0"/>
        <w:adjustRightInd w:val="0"/>
        <w:rPr>
          <w:rFonts w:cs="Calibri"/>
          <w:color w:val="000000"/>
        </w:rPr>
      </w:pPr>
      <w:r w:rsidRPr="00A0752B">
        <w:rPr>
          <w:rFonts w:cs="Calibri"/>
          <w:color w:val="000000"/>
        </w:rPr>
        <w:t>Pr</w:t>
      </w:r>
      <w:r>
        <w:rPr>
          <w:rFonts w:cs="Calibri"/>
          <w:color w:val="000000"/>
        </w:rPr>
        <w:t>essupost</w:t>
      </w:r>
      <w:r w:rsidRPr="00A0752B">
        <w:rPr>
          <w:rFonts w:cs="Calibri"/>
          <w:color w:val="000000"/>
        </w:rPr>
        <w:t xml:space="preserve"> ofert</w:t>
      </w:r>
      <w:r>
        <w:rPr>
          <w:rFonts w:cs="Calibri"/>
          <w:color w:val="000000"/>
        </w:rPr>
        <w:t xml:space="preserve"> per l’</w:t>
      </w:r>
      <w:r w:rsidRPr="00A0752B">
        <w:rPr>
          <w:rFonts w:cs="Calibri"/>
          <w:color w:val="000000"/>
        </w:rPr>
        <w:t>empresa licitadora</w:t>
      </w:r>
      <w:r>
        <w:rPr>
          <w:rFonts w:cs="Calibri"/>
          <w:color w:val="000000"/>
        </w:rPr>
        <w:t>:</w:t>
      </w:r>
    </w:p>
    <w:p w14:paraId="51CC474A" w14:textId="77777777" w:rsidR="00027B38" w:rsidRDefault="00027B38" w:rsidP="00027B38">
      <w:pPr>
        <w:rPr>
          <w:rFonts w:cs="Arial"/>
          <w:b/>
          <w:highlight w:val="yellow"/>
        </w:rPr>
      </w:pPr>
    </w:p>
    <w:tbl>
      <w:tblPr>
        <w:tblW w:w="506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0"/>
        <w:gridCol w:w="1704"/>
        <w:gridCol w:w="1472"/>
        <w:gridCol w:w="1622"/>
      </w:tblGrid>
      <w:tr w:rsidR="00027B38" w:rsidRPr="004948C5" w14:paraId="69FDF960" w14:textId="77777777" w:rsidTr="003A315E">
        <w:trPr>
          <w:trHeight w:val="1177"/>
          <w:jc w:val="center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/>
            <w:noWrap/>
            <w:vAlign w:val="center"/>
            <w:hideMark/>
          </w:tcPr>
          <w:p w14:paraId="17CE4EDE" w14:textId="77777777" w:rsidR="00027B38" w:rsidRPr="004948C5" w:rsidRDefault="00027B38" w:rsidP="003A315E">
            <w:pPr>
              <w:jc w:val="center"/>
              <w:rPr>
                <w:rFonts w:eastAsia="Times New Roman"/>
                <w:b/>
                <w:bCs/>
                <w:color w:val="000000"/>
                <w:lang w:eastAsia="ca-ES"/>
              </w:rPr>
            </w:pPr>
            <w:r>
              <w:rPr>
                <w:rFonts w:eastAsia="Times New Roman"/>
                <w:b/>
                <w:bCs/>
                <w:color w:val="000000"/>
                <w:lang w:eastAsia="ca-ES"/>
              </w:rPr>
              <w:t>Concepte</w:t>
            </w:r>
            <w:r w:rsidRPr="004948C5">
              <w:rPr>
                <w:rFonts w:eastAsia="Times New Roman"/>
                <w:b/>
                <w:bCs/>
                <w:color w:val="000000"/>
                <w:lang w:eastAsia="ca-ES"/>
              </w:rPr>
              <w:t xml:space="preserve"> 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/>
            <w:vAlign w:val="center"/>
            <w:hideMark/>
          </w:tcPr>
          <w:p w14:paraId="60B44AD3" w14:textId="77777777" w:rsidR="00027B38" w:rsidRPr="004948C5" w:rsidRDefault="00027B38" w:rsidP="003A315E">
            <w:pPr>
              <w:jc w:val="center"/>
              <w:rPr>
                <w:rFonts w:eastAsia="Times New Roman"/>
                <w:b/>
                <w:bCs/>
                <w:color w:val="000000"/>
                <w:lang w:eastAsia="ca-ES"/>
              </w:rPr>
            </w:pPr>
            <w:r>
              <w:rPr>
                <w:rFonts w:eastAsia="Times New Roman"/>
                <w:b/>
                <w:bCs/>
                <w:color w:val="000000"/>
                <w:lang w:eastAsia="ca-ES"/>
              </w:rPr>
              <w:t>Preu unitari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/>
            <w:vAlign w:val="center"/>
            <w:hideMark/>
          </w:tcPr>
          <w:p w14:paraId="7FA778FC" w14:textId="77777777" w:rsidR="00027B38" w:rsidRPr="004948C5" w:rsidRDefault="00027B38" w:rsidP="003A315E">
            <w:pPr>
              <w:jc w:val="center"/>
              <w:rPr>
                <w:rFonts w:eastAsia="Times New Roman"/>
                <w:b/>
                <w:bCs/>
                <w:color w:val="000000"/>
                <w:lang w:eastAsia="ca-ES"/>
              </w:rPr>
            </w:pPr>
            <w:r>
              <w:rPr>
                <w:rFonts w:eastAsia="Times New Roman"/>
                <w:b/>
                <w:bCs/>
                <w:color w:val="000000"/>
                <w:lang w:eastAsia="ca-ES"/>
              </w:rPr>
              <w:t>Previsió anual màxima aproximada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A983"/>
            <w:noWrap/>
            <w:vAlign w:val="center"/>
            <w:hideMark/>
          </w:tcPr>
          <w:p w14:paraId="56D950CF" w14:textId="77777777" w:rsidR="00027B38" w:rsidRPr="004948C5" w:rsidRDefault="00027B38" w:rsidP="003A315E">
            <w:pPr>
              <w:jc w:val="center"/>
              <w:rPr>
                <w:rFonts w:eastAsia="Times New Roman"/>
                <w:b/>
                <w:bCs/>
                <w:color w:val="000000"/>
                <w:lang w:eastAsia="ca-ES"/>
              </w:rPr>
            </w:pPr>
            <w:r w:rsidRPr="004948C5">
              <w:rPr>
                <w:rFonts w:eastAsia="Times New Roman"/>
                <w:b/>
                <w:bCs/>
                <w:color w:val="000000"/>
                <w:lang w:eastAsia="ca-ES"/>
              </w:rPr>
              <w:t xml:space="preserve">Total </w:t>
            </w:r>
          </w:p>
        </w:tc>
      </w:tr>
      <w:tr w:rsidR="00027B38" w:rsidRPr="004948C5" w14:paraId="02E9AA5B" w14:textId="77777777" w:rsidTr="003A315E">
        <w:trPr>
          <w:trHeight w:val="295"/>
          <w:jc w:val="center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4D275" w14:textId="77777777" w:rsidR="00027B38" w:rsidRPr="004948C5" w:rsidRDefault="00027B38" w:rsidP="003A315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proofErr w:type="spellStart"/>
            <w:r>
              <w:rPr>
                <w:rFonts w:eastAsia="Times New Roman"/>
                <w:color w:val="000000"/>
                <w:lang w:eastAsia="ca-ES"/>
              </w:rPr>
              <w:t>Tutorització</w:t>
            </w:r>
            <w:proofErr w:type="spellEnd"/>
            <w:r>
              <w:rPr>
                <w:rFonts w:eastAsia="Times New Roman"/>
                <w:color w:val="000000"/>
                <w:lang w:eastAsia="ca-ES"/>
              </w:rPr>
              <w:t xml:space="preserve"> formació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B2A4" w14:textId="277B724B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3F2C8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10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594C9" w14:textId="3205B320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</w:tr>
      <w:tr w:rsidR="00027B38" w:rsidRPr="004948C5" w14:paraId="53BFCB38" w14:textId="77777777" w:rsidTr="003A315E">
        <w:trPr>
          <w:trHeight w:val="78"/>
          <w:jc w:val="center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91589" w14:textId="77777777" w:rsidR="00027B38" w:rsidRPr="004948C5" w:rsidRDefault="00027B38" w:rsidP="003A315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Creació de continguts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C169D" w14:textId="45DC68CF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C80D1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5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6AE76" w14:textId="1FB5ACC4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</w:tr>
      <w:tr w:rsidR="00027B38" w:rsidRPr="004948C5" w14:paraId="04A813F3" w14:textId="77777777" w:rsidTr="003A315E">
        <w:trPr>
          <w:trHeight w:val="295"/>
          <w:jc w:val="center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401D3" w14:textId="77777777" w:rsidR="00027B38" w:rsidRPr="004948C5" w:rsidRDefault="00027B38" w:rsidP="003A315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Actualització de continguts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6FDBA" w14:textId="33ADA491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0AF00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5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5218" w14:textId="17B1A263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</w:tr>
      <w:tr w:rsidR="00027B38" w:rsidRPr="004948C5" w14:paraId="6945622C" w14:textId="77777777" w:rsidTr="003A315E">
        <w:trPr>
          <w:trHeight w:val="295"/>
          <w:jc w:val="center"/>
        </w:trPr>
        <w:tc>
          <w:tcPr>
            <w:tcW w:w="2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211B7" w14:textId="77777777" w:rsidR="00027B38" w:rsidRPr="004948C5" w:rsidRDefault="00027B38" w:rsidP="003A315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Configuració millores per facilitar MOODLE per SUMAE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E7B6A" w14:textId="278F2093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1547D" w14:textId="77777777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1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34E72" w14:textId="14AF78DF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</w:tr>
      <w:tr w:rsidR="00027B38" w:rsidRPr="004948C5" w14:paraId="6EB7B010" w14:textId="77777777" w:rsidTr="003A315E">
        <w:trPr>
          <w:trHeight w:val="295"/>
          <w:jc w:val="center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42E5E" w14:textId="48A0ECB3" w:rsidR="00027B38" w:rsidRPr="004948C5" w:rsidRDefault="00027B38" w:rsidP="003A315E">
            <w:pPr>
              <w:jc w:val="left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Despeses eventuals (previsió 20% del total)*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393B4" w14:textId="6EC856A0" w:rsidR="00027B38" w:rsidRPr="004948C5" w:rsidRDefault="00D704B5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-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64C24" w14:textId="4A991BB2" w:rsidR="00027B38" w:rsidRPr="004948C5" w:rsidRDefault="00D704B5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-</w:t>
            </w: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3BC32" w14:textId="3F98166B" w:rsidR="00027B38" w:rsidRPr="004948C5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2.120,00€</w:t>
            </w:r>
          </w:p>
        </w:tc>
      </w:tr>
      <w:tr w:rsidR="00027B38" w14:paraId="712EB24F" w14:textId="77777777" w:rsidTr="003A315E">
        <w:trPr>
          <w:trHeight w:val="295"/>
          <w:jc w:val="center"/>
        </w:trPr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0358C95" w14:textId="77777777" w:rsidR="00027B38" w:rsidRPr="00B77CA4" w:rsidRDefault="00027B38" w:rsidP="003A315E">
            <w:pPr>
              <w:jc w:val="left"/>
              <w:rPr>
                <w:rFonts w:eastAsia="Times New Roman"/>
                <w:b/>
                <w:bCs/>
                <w:color w:val="000000"/>
                <w:lang w:eastAsia="ca-ES"/>
              </w:rPr>
            </w:pPr>
            <w:r>
              <w:rPr>
                <w:rFonts w:eastAsia="Times New Roman"/>
                <w:b/>
                <w:bCs/>
                <w:color w:val="000000"/>
                <w:lang w:eastAsia="ca-ES"/>
              </w:rPr>
              <w:t xml:space="preserve">TOTAL 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15EF417" w14:textId="77777777" w:rsidR="00027B38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2C6E687" w14:textId="77777777" w:rsidR="00027B38" w:rsidRDefault="00027B38" w:rsidP="003A315E">
            <w:pPr>
              <w:jc w:val="center"/>
              <w:rPr>
                <w:rFonts w:eastAsia="Times New Roman"/>
                <w:color w:val="000000"/>
                <w:lang w:eastAsia="ca-E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386B085" w14:textId="5AEBAA61" w:rsidR="00027B38" w:rsidRDefault="00027B38" w:rsidP="00D704B5">
            <w:pPr>
              <w:jc w:val="right"/>
              <w:rPr>
                <w:rFonts w:eastAsia="Times New Roman"/>
                <w:color w:val="000000"/>
                <w:lang w:eastAsia="ca-ES"/>
              </w:rPr>
            </w:pPr>
            <w:r>
              <w:rPr>
                <w:rFonts w:eastAsia="Times New Roman"/>
                <w:color w:val="000000"/>
                <w:lang w:eastAsia="ca-ES"/>
              </w:rPr>
              <w:t>€</w:t>
            </w:r>
          </w:p>
        </w:tc>
      </w:tr>
    </w:tbl>
    <w:p w14:paraId="2117596C" w14:textId="77777777" w:rsidR="00027B38" w:rsidRDefault="00027B38" w:rsidP="00027B38">
      <w:pPr>
        <w:rPr>
          <w:rFonts w:cs="Arial"/>
          <w:b/>
          <w:highlight w:val="yellow"/>
        </w:rPr>
      </w:pPr>
    </w:p>
    <w:p w14:paraId="0A7DFED2" w14:textId="4E422E5A" w:rsidR="00027B38" w:rsidRDefault="00027B38" w:rsidP="00027B38">
      <w:pPr>
        <w:tabs>
          <w:tab w:val="left" w:pos="567"/>
        </w:tabs>
        <w:spacing w:after="160" w:line="259" w:lineRule="auto"/>
      </w:pPr>
      <w:r>
        <w:t>* L’import en relació amb les despeses eventuals és un màxim i no cal presentar oferta per aquest concepte.</w:t>
      </w:r>
    </w:p>
    <w:p w14:paraId="72D47BF1" w14:textId="77777777" w:rsidR="00027B38" w:rsidRDefault="00027B38" w:rsidP="00027B38">
      <w:pPr>
        <w:autoSpaceDE w:val="0"/>
        <w:autoSpaceDN w:val="0"/>
        <w:adjustRightInd w:val="0"/>
        <w:spacing w:after="120"/>
        <w:rPr>
          <w:rFonts w:cs="Calibri"/>
          <w:color w:val="000000"/>
          <w:highlight w:val="yellow"/>
        </w:rPr>
      </w:pPr>
    </w:p>
    <w:p w14:paraId="5CA3B7FF" w14:textId="7E73C8F1" w:rsidR="00027B38" w:rsidRDefault="00027B38" w:rsidP="00027B38">
      <w:pPr>
        <w:pStyle w:val="Textoindependiente"/>
        <w:widowControl w:val="0"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22"/>
          <w:szCs w:val="22"/>
          <w:u w:val="single"/>
          <w:lang w:eastAsia="x-none"/>
        </w:rPr>
      </w:pPr>
      <w:r>
        <w:rPr>
          <w:rFonts w:ascii="Calibri" w:hAnsi="Calibri" w:cs="Calibri"/>
          <w:b/>
          <w:sz w:val="22"/>
          <w:szCs w:val="22"/>
          <w:u w:val="single"/>
          <w:lang w:eastAsia="x-none"/>
        </w:rPr>
        <w:t xml:space="preserve">Temps de resposta de les incidències </w:t>
      </w:r>
    </w:p>
    <w:p w14:paraId="0FD6ABFF" w14:textId="77777777" w:rsidR="00027B38" w:rsidRDefault="00027B38" w:rsidP="00027B38">
      <w:pPr>
        <w:pStyle w:val="Textoindependiente"/>
        <w:ind w:left="567"/>
        <w:rPr>
          <w:rFonts w:ascii="Calibri" w:hAnsi="Calibri" w:cs="Calibri"/>
          <w:b/>
          <w:sz w:val="22"/>
          <w:szCs w:val="22"/>
          <w:u w:val="single"/>
          <w:lang w:eastAsia="x-none"/>
        </w:rPr>
      </w:pPr>
    </w:p>
    <w:p w14:paraId="3EF31074" w14:textId="0DCAF9A0" w:rsidR="00027B38" w:rsidRDefault="00027B38" w:rsidP="00027B38">
      <w:pPr>
        <w:pStyle w:val="Textoindependiente"/>
        <w:rPr>
          <w:rFonts w:ascii="Calibri" w:hAnsi="Calibri" w:cs="Calibri"/>
          <w:bCs/>
          <w:sz w:val="22"/>
          <w:szCs w:val="22"/>
          <w:lang w:eastAsia="x-none"/>
        </w:rPr>
      </w:pPr>
      <w:r w:rsidRPr="00D82629">
        <w:rPr>
          <w:rFonts w:ascii="Calibri" w:hAnsi="Calibri" w:cs="Calibri"/>
          <w:bCs/>
          <w:sz w:val="22"/>
          <w:szCs w:val="22"/>
          <w:lang w:eastAsia="x-none"/>
        </w:rPr>
        <w:t xml:space="preserve">S’atorgaran </w:t>
      </w:r>
      <w:r w:rsidRPr="000F3606">
        <w:rPr>
          <w:rFonts w:ascii="Calibri" w:hAnsi="Calibri" w:cs="Calibri"/>
          <w:b/>
          <w:sz w:val="22"/>
          <w:szCs w:val="22"/>
          <w:lang w:eastAsia="x-none"/>
        </w:rPr>
        <w:t xml:space="preserve">fins a </w:t>
      </w:r>
      <w:r>
        <w:rPr>
          <w:rFonts w:ascii="Calibri" w:hAnsi="Calibri" w:cs="Calibri"/>
          <w:b/>
          <w:sz w:val="22"/>
          <w:szCs w:val="22"/>
          <w:lang w:eastAsia="x-none"/>
        </w:rPr>
        <w:t>30</w:t>
      </w:r>
      <w:r w:rsidRPr="000F3606">
        <w:rPr>
          <w:rFonts w:ascii="Calibri" w:hAnsi="Calibri" w:cs="Calibri"/>
          <w:b/>
          <w:sz w:val="22"/>
          <w:szCs w:val="22"/>
          <w:lang w:eastAsia="x-none"/>
        </w:rPr>
        <w:t xml:space="preserve"> punts</w:t>
      </w:r>
      <w:r w:rsidRPr="00D82629">
        <w:rPr>
          <w:rFonts w:ascii="Calibri" w:hAnsi="Calibri" w:cs="Calibri"/>
          <w:bCs/>
          <w:sz w:val="22"/>
          <w:szCs w:val="22"/>
          <w:lang w:eastAsia="x-none"/>
        </w:rPr>
        <w:t xml:space="preserve"> a aquelles empreses que</w:t>
      </w:r>
      <w:r>
        <w:rPr>
          <w:rFonts w:ascii="Calibri" w:hAnsi="Calibri" w:cs="Calibri"/>
          <w:bCs/>
          <w:sz w:val="22"/>
          <w:szCs w:val="22"/>
          <w:lang w:eastAsia="x-none"/>
        </w:rPr>
        <w:t xml:space="preserve"> acreditin un compromís en el temps de resolució de les incidències de la plataforma e-</w:t>
      </w:r>
      <w:proofErr w:type="spellStart"/>
      <w:r>
        <w:rPr>
          <w:rFonts w:ascii="Calibri" w:hAnsi="Calibri" w:cs="Calibri"/>
          <w:bCs/>
          <w:sz w:val="22"/>
          <w:szCs w:val="22"/>
          <w:lang w:eastAsia="x-none"/>
        </w:rPr>
        <w:t>learning</w:t>
      </w:r>
      <w:proofErr w:type="spellEnd"/>
      <w:r>
        <w:rPr>
          <w:rFonts w:ascii="Calibri" w:hAnsi="Calibri" w:cs="Calibri"/>
          <w:bCs/>
          <w:sz w:val="22"/>
          <w:szCs w:val="22"/>
          <w:lang w:eastAsia="x-none"/>
        </w:rPr>
        <w:t xml:space="preserve">: </w:t>
      </w:r>
    </w:p>
    <w:p w14:paraId="399120DE" w14:textId="5FFAECBC" w:rsidR="00027B38" w:rsidRDefault="00027B38" w:rsidP="00027B38">
      <w:pPr>
        <w:pStyle w:val="Textoindependiente"/>
        <w:rPr>
          <w:rFonts w:ascii="Calibri" w:hAnsi="Calibri" w:cs="Calibri"/>
          <w:bCs/>
          <w:sz w:val="22"/>
          <w:szCs w:val="22"/>
          <w:lang w:eastAsia="x-none"/>
        </w:rPr>
      </w:pPr>
      <w:r>
        <w:rPr>
          <w:rFonts w:ascii="Calibri" w:hAnsi="Calibri" w:cs="Calibri"/>
          <w:bCs/>
          <w:sz w:val="22"/>
          <w:szCs w:val="22"/>
          <w:lang w:eastAsia="x-none"/>
        </w:rPr>
        <w:t xml:space="preserve"> </w:t>
      </w:r>
    </w:p>
    <w:p w14:paraId="20351699" w14:textId="77777777" w:rsidR="00027B38" w:rsidRPr="00D82948" w:rsidRDefault="00027B38" w:rsidP="00027B38">
      <w:pPr>
        <w:tabs>
          <w:tab w:val="left" w:pos="426"/>
        </w:tabs>
        <w:rPr>
          <w:rFonts w:cs="Calibri"/>
        </w:rPr>
      </w:pP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4"/>
        <w:gridCol w:w="1542"/>
        <w:gridCol w:w="1261"/>
      </w:tblGrid>
      <w:tr w:rsidR="00027B38" w:rsidRPr="00D82948" w14:paraId="2254B6B1" w14:textId="77777777" w:rsidTr="003A315E">
        <w:tc>
          <w:tcPr>
            <w:tcW w:w="5592" w:type="dxa"/>
            <w:shd w:val="clear" w:color="auto" w:fill="DF7A00"/>
          </w:tcPr>
          <w:p w14:paraId="2FB0BF81" w14:textId="77777777" w:rsidR="00027B38" w:rsidRPr="00D82948" w:rsidRDefault="00027B38" w:rsidP="003A315E">
            <w:pPr>
              <w:tabs>
                <w:tab w:val="left" w:pos="426"/>
              </w:tabs>
              <w:rPr>
                <w:rFonts w:cs="Calibri"/>
                <w:b/>
                <w:bCs/>
              </w:rPr>
            </w:pPr>
            <w:r w:rsidRPr="00D82948">
              <w:rPr>
                <w:rFonts w:cs="Calibri"/>
                <w:b/>
                <w:bCs/>
              </w:rPr>
              <w:t>Concepte</w:t>
            </w:r>
          </w:p>
        </w:tc>
        <w:tc>
          <w:tcPr>
            <w:tcW w:w="1559" w:type="dxa"/>
            <w:shd w:val="clear" w:color="auto" w:fill="DF7A00"/>
          </w:tcPr>
          <w:p w14:paraId="2AAF7C20" w14:textId="77777777" w:rsidR="00027B38" w:rsidRPr="00D82948" w:rsidRDefault="00027B38" w:rsidP="003A315E">
            <w:pPr>
              <w:tabs>
                <w:tab w:val="left" w:pos="426"/>
              </w:tabs>
              <w:rPr>
                <w:rFonts w:cs="Calibri"/>
                <w:b/>
                <w:bCs/>
              </w:rPr>
            </w:pPr>
            <w:r w:rsidRPr="00D82948">
              <w:rPr>
                <w:rFonts w:cs="Calibri"/>
                <w:b/>
                <w:bCs/>
              </w:rPr>
              <w:t>Compromís</w:t>
            </w:r>
          </w:p>
        </w:tc>
        <w:tc>
          <w:tcPr>
            <w:tcW w:w="1269" w:type="dxa"/>
            <w:shd w:val="clear" w:color="auto" w:fill="DF7A00"/>
          </w:tcPr>
          <w:p w14:paraId="29399D4F" w14:textId="77777777" w:rsidR="00027B38" w:rsidRPr="00D82948" w:rsidRDefault="00027B38" w:rsidP="003A315E">
            <w:pPr>
              <w:tabs>
                <w:tab w:val="left" w:pos="426"/>
              </w:tabs>
              <w:rPr>
                <w:rFonts w:cs="Calibri"/>
                <w:b/>
                <w:bCs/>
              </w:rPr>
            </w:pPr>
            <w:r w:rsidRPr="00D82948">
              <w:rPr>
                <w:rFonts w:cs="Calibri"/>
                <w:b/>
                <w:bCs/>
              </w:rPr>
              <w:t xml:space="preserve">Puntuació </w:t>
            </w:r>
          </w:p>
        </w:tc>
      </w:tr>
      <w:tr w:rsidR="00027B38" w:rsidRPr="00D82948" w14:paraId="28865658" w14:textId="77777777" w:rsidTr="003A315E">
        <w:tc>
          <w:tcPr>
            <w:tcW w:w="5592" w:type="dxa"/>
          </w:tcPr>
          <w:p w14:paraId="26F179B9" w14:textId="77777777" w:rsidR="00027B38" w:rsidRPr="00D82948" w:rsidRDefault="00027B38" w:rsidP="003A315E">
            <w:pPr>
              <w:tabs>
                <w:tab w:val="left" w:pos="426"/>
              </w:tabs>
              <w:rPr>
                <w:rFonts w:cs="Calibri"/>
              </w:rPr>
            </w:pPr>
            <w:r w:rsidRPr="00D82948">
              <w:rPr>
                <w:rFonts w:cs="Calibri"/>
              </w:rPr>
              <w:t>Reducció del temps de resolució de la incidència a 12 hores</w:t>
            </w:r>
          </w:p>
        </w:tc>
        <w:tc>
          <w:tcPr>
            <w:tcW w:w="1559" w:type="dxa"/>
          </w:tcPr>
          <w:p w14:paraId="18D76462" w14:textId="77777777" w:rsidR="00027B38" w:rsidRPr="00D82948" w:rsidRDefault="00027B38" w:rsidP="003A315E">
            <w:pPr>
              <w:tabs>
                <w:tab w:val="left" w:pos="426"/>
              </w:tabs>
              <w:jc w:val="center"/>
              <w:rPr>
                <w:rFonts w:cs="Calibri"/>
              </w:rPr>
            </w:pPr>
            <w:r w:rsidRPr="00D82948">
              <w:rPr>
                <w:rFonts w:ascii="MS Gothic" w:eastAsia="MS Gothic" w:hAnsi="MS Gothic" w:cs="Calibri" w:hint="eastAsia"/>
                <w:bCs/>
              </w:rPr>
              <w:t>☐</w:t>
            </w:r>
          </w:p>
        </w:tc>
        <w:tc>
          <w:tcPr>
            <w:tcW w:w="1269" w:type="dxa"/>
          </w:tcPr>
          <w:p w14:paraId="1A32C398" w14:textId="77777777" w:rsidR="00027B38" w:rsidRPr="00D82948" w:rsidRDefault="00027B38" w:rsidP="003A315E">
            <w:pPr>
              <w:tabs>
                <w:tab w:val="left" w:pos="426"/>
              </w:tabs>
              <w:rPr>
                <w:rFonts w:cs="Calibri"/>
              </w:rPr>
            </w:pPr>
            <w:r w:rsidRPr="00D82948">
              <w:rPr>
                <w:rFonts w:cs="Calibri"/>
              </w:rPr>
              <w:t>30 punts</w:t>
            </w:r>
          </w:p>
        </w:tc>
      </w:tr>
      <w:tr w:rsidR="00027B38" w:rsidRPr="00D82948" w14:paraId="1B0FC80C" w14:textId="77777777" w:rsidTr="003A315E">
        <w:tc>
          <w:tcPr>
            <w:tcW w:w="5592" w:type="dxa"/>
          </w:tcPr>
          <w:p w14:paraId="44AB2351" w14:textId="77777777" w:rsidR="00027B38" w:rsidRPr="00D82948" w:rsidRDefault="00027B38" w:rsidP="003A315E">
            <w:pPr>
              <w:tabs>
                <w:tab w:val="left" w:pos="426"/>
              </w:tabs>
              <w:rPr>
                <w:rFonts w:cs="Calibri"/>
              </w:rPr>
            </w:pPr>
            <w:r w:rsidRPr="00D82948">
              <w:rPr>
                <w:rFonts w:cs="Calibri"/>
              </w:rPr>
              <w:t>Reducció del temps de resolució de la incidència a 24 hores</w:t>
            </w:r>
          </w:p>
        </w:tc>
        <w:tc>
          <w:tcPr>
            <w:tcW w:w="1559" w:type="dxa"/>
          </w:tcPr>
          <w:p w14:paraId="7476C0DA" w14:textId="77777777" w:rsidR="00027B38" w:rsidRPr="00D82948" w:rsidRDefault="00027B38" w:rsidP="003A315E">
            <w:pPr>
              <w:tabs>
                <w:tab w:val="left" w:pos="426"/>
              </w:tabs>
              <w:jc w:val="center"/>
              <w:rPr>
                <w:rFonts w:ascii="MS Gothic" w:eastAsia="MS Gothic" w:hAnsi="MS Gothic" w:cs="Calibri"/>
                <w:bCs/>
              </w:rPr>
            </w:pPr>
            <w:r w:rsidRPr="00D82948">
              <w:rPr>
                <w:rFonts w:ascii="MS Gothic" w:eastAsia="MS Gothic" w:hAnsi="MS Gothic" w:cs="Calibri" w:hint="eastAsia"/>
                <w:bCs/>
              </w:rPr>
              <w:t>☐</w:t>
            </w:r>
          </w:p>
        </w:tc>
        <w:tc>
          <w:tcPr>
            <w:tcW w:w="1269" w:type="dxa"/>
          </w:tcPr>
          <w:p w14:paraId="0AD150A7" w14:textId="77777777" w:rsidR="00027B38" w:rsidRPr="00D82948" w:rsidRDefault="00027B38" w:rsidP="003A315E">
            <w:pPr>
              <w:tabs>
                <w:tab w:val="left" w:pos="426"/>
              </w:tabs>
              <w:rPr>
                <w:rFonts w:cs="Calibri"/>
              </w:rPr>
            </w:pPr>
            <w:r w:rsidRPr="00D82948">
              <w:rPr>
                <w:rFonts w:cs="Calibri"/>
              </w:rPr>
              <w:t>15 punts</w:t>
            </w:r>
          </w:p>
        </w:tc>
      </w:tr>
      <w:tr w:rsidR="00027B38" w:rsidRPr="00D82948" w14:paraId="2815AB93" w14:textId="77777777" w:rsidTr="003A315E">
        <w:tc>
          <w:tcPr>
            <w:tcW w:w="5592" w:type="dxa"/>
          </w:tcPr>
          <w:p w14:paraId="477A42BC" w14:textId="77777777" w:rsidR="00027B38" w:rsidRPr="00D82948" w:rsidRDefault="00027B38" w:rsidP="003A315E">
            <w:pPr>
              <w:tabs>
                <w:tab w:val="left" w:pos="426"/>
              </w:tabs>
              <w:rPr>
                <w:rFonts w:cs="Calibri"/>
              </w:rPr>
            </w:pPr>
            <w:r w:rsidRPr="00D82948">
              <w:rPr>
                <w:rFonts w:cs="Calibri"/>
              </w:rPr>
              <w:t>Resolució de la incidència en més de 24 hores</w:t>
            </w:r>
          </w:p>
        </w:tc>
        <w:tc>
          <w:tcPr>
            <w:tcW w:w="1559" w:type="dxa"/>
          </w:tcPr>
          <w:p w14:paraId="385EFFFD" w14:textId="77777777" w:rsidR="00027B38" w:rsidRPr="00D82948" w:rsidRDefault="00027B38" w:rsidP="003A315E">
            <w:pPr>
              <w:tabs>
                <w:tab w:val="left" w:pos="426"/>
              </w:tabs>
              <w:jc w:val="center"/>
              <w:rPr>
                <w:rFonts w:ascii="MS Gothic" w:eastAsia="MS Gothic" w:hAnsi="MS Gothic" w:cs="Calibri"/>
                <w:bCs/>
              </w:rPr>
            </w:pPr>
            <w:r w:rsidRPr="00D82948">
              <w:rPr>
                <w:rFonts w:ascii="MS Gothic" w:eastAsia="MS Gothic" w:hAnsi="MS Gothic" w:cs="Calibri" w:hint="eastAsia"/>
                <w:bCs/>
              </w:rPr>
              <w:t>☐</w:t>
            </w:r>
          </w:p>
        </w:tc>
        <w:tc>
          <w:tcPr>
            <w:tcW w:w="1269" w:type="dxa"/>
          </w:tcPr>
          <w:p w14:paraId="2F8F50A6" w14:textId="77777777" w:rsidR="00027B38" w:rsidRPr="00D82948" w:rsidRDefault="00027B38" w:rsidP="003A315E">
            <w:pPr>
              <w:tabs>
                <w:tab w:val="left" w:pos="426"/>
              </w:tabs>
              <w:rPr>
                <w:rFonts w:cs="Calibri"/>
              </w:rPr>
            </w:pPr>
            <w:r w:rsidRPr="00D82948">
              <w:rPr>
                <w:rFonts w:cs="Calibri"/>
              </w:rPr>
              <w:t>0 punts</w:t>
            </w:r>
          </w:p>
        </w:tc>
      </w:tr>
    </w:tbl>
    <w:p w14:paraId="31F9AC83" w14:textId="77777777" w:rsidR="00027B38" w:rsidRDefault="00027B38" w:rsidP="00027B38">
      <w:pPr>
        <w:autoSpaceDE w:val="0"/>
        <w:autoSpaceDN w:val="0"/>
        <w:adjustRightInd w:val="0"/>
        <w:spacing w:after="120"/>
        <w:rPr>
          <w:rFonts w:cs="Calibri"/>
          <w:color w:val="000000"/>
          <w:highlight w:val="yellow"/>
        </w:rPr>
      </w:pPr>
    </w:p>
    <w:p w14:paraId="525BDF9A" w14:textId="77777777" w:rsidR="00027B38" w:rsidRPr="00D76327" w:rsidRDefault="00027B38" w:rsidP="00027B38">
      <w:pPr>
        <w:ind w:left="567"/>
        <w:rPr>
          <w:rFonts w:cs="Arial"/>
          <w:b/>
          <w:highlight w:val="yellow"/>
        </w:rPr>
      </w:pPr>
    </w:p>
    <w:p w14:paraId="299DF1C3" w14:textId="77777777" w:rsidR="00027B38" w:rsidRPr="00D76327" w:rsidRDefault="00027B38" w:rsidP="00027B38">
      <w:pPr>
        <w:autoSpaceDE w:val="0"/>
        <w:autoSpaceDN w:val="0"/>
        <w:adjustRightInd w:val="0"/>
        <w:spacing w:after="120"/>
        <w:rPr>
          <w:rFonts w:cs="Calibri"/>
          <w:color w:val="000000"/>
          <w:highlight w:val="yellow"/>
        </w:rPr>
      </w:pPr>
    </w:p>
    <w:p w14:paraId="2B507F03" w14:textId="77777777" w:rsidR="00027B38" w:rsidRDefault="00027B38" w:rsidP="00027B38">
      <w:pPr>
        <w:autoSpaceDE w:val="0"/>
        <w:autoSpaceDN w:val="0"/>
        <w:adjustRightInd w:val="0"/>
        <w:spacing w:after="120"/>
        <w:rPr>
          <w:rFonts w:cs="Calibri"/>
          <w:color w:val="000000"/>
        </w:rPr>
      </w:pPr>
      <w:r w:rsidRPr="00661768">
        <w:rPr>
          <w:rFonts w:cs="Calibri"/>
          <w:color w:val="000000"/>
        </w:rPr>
        <w:t xml:space="preserve">I per què consti, signo aquesta oferta econòmica. </w:t>
      </w:r>
    </w:p>
    <w:p w14:paraId="4A256045" w14:textId="77777777" w:rsidR="00027B38" w:rsidRDefault="00027B38" w:rsidP="00027B38">
      <w:pPr>
        <w:autoSpaceDE w:val="0"/>
        <w:autoSpaceDN w:val="0"/>
        <w:adjustRightInd w:val="0"/>
        <w:spacing w:after="120"/>
        <w:rPr>
          <w:rFonts w:cs="Calibri"/>
          <w:color w:val="000000"/>
        </w:rPr>
      </w:pPr>
      <w:r w:rsidRPr="00661768">
        <w:rPr>
          <w:rFonts w:cs="Calibri"/>
          <w:color w:val="000000"/>
        </w:rPr>
        <w:t>(lloc i data)</w:t>
      </w:r>
    </w:p>
    <w:p w14:paraId="16EB0A2A" w14:textId="77777777" w:rsidR="00027B38" w:rsidRDefault="00027B38" w:rsidP="00027B38">
      <w:pPr>
        <w:autoSpaceDE w:val="0"/>
        <w:autoSpaceDN w:val="0"/>
        <w:adjustRightInd w:val="0"/>
        <w:spacing w:after="120"/>
        <w:rPr>
          <w:rFonts w:cs="Calibri"/>
        </w:rPr>
      </w:pPr>
      <w:r w:rsidRPr="00D86FC3">
        <w:rPr>
          <w:rFonts w:cs="Calibri"/>
        </w:rPr>
        <w:t>Signatura</w:t>
      </w:r>
    </w:p>
    <w:p w14:paraId="51F1B197" w14:textId="77777777" w:rsidR="00027B38" w:rsidRDefault="00027B38" w:rsidP="00027B38">
      <w:pPr>
        <w:rPr>
          <w:rFonts w:cs="Calibri"/>
        </w:rPr>
      </w:pPr>
      <w:bookmarkStart w:id="2" w:name="_Hlk114838377"/>
      <w:r>
        <w:rPr>
          <w:rFonts w:cs="Calibri"/>
        </w:rPr>
        <w:t>________________________________________________________</w:t>
      </w:r>
    </w:p>
    <w:p w14:paraId="4036E0DF" w14:textId="77777777" w:rsidR="00027B38" w:rsidRPr="00514361" w:rsidRDefault="00027B38" w:rsidP="00027B38">
      <w:pPr>
        <w:rPr>
          <w:b/>
          <w:bCs/>
          <w:sz w:val="20"/>
          <w:szCs w:val="20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145D9DE3" w14:textId="77777777" w:rsidR="00027B38" w:rsidRPr="00514361" w:rsidRDefault="00027B38" w:rsidP="00027B38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667EBCE4" w14:textId="77777777" w:rsidR="00027B38" w:rsidRPr="00514361" w:rsidRDefault="00027B38" w:rsidP="00027B38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lastRenderedPageBreak/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27217635" w14:textId="77777777" w:rsidR="00027B38" w:rsidRPr="00514361" w:rsidRDefault="00027B38" w:rsidP="00027B38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49C0A100" w14:textId="77777777" w:rsidR="00027B38" w:rsidRPr="00514361" w:rsidRDefault="00027B38" w:rsidP="00027B38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7DED5D5B" w14:textId="77777777" w:rsidR="00027B38" w:rsidRPr="00514361" w:rsidRDefault="00027B38" w:rsidP="00027B38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16235C87" w14:textId="77777777" w:rsidR="00027B38" w:rsidRPr="00514361" w:rsidRDefault="00027B38" w:rsidP="00027B38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11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2"/>
    <w:p w14:paraId="65A1733E" w14:textId="77777777" w:rsidR="00027B38" w:rsidRDefault="00027B38" w:rsidP="00027B38">
      <w:pPr>
        <w:rPr>
          <w:rFonts w:cs="Arial"/>
          <w:color w:val="000000"/>
        </w:rPr>
      </w:pPr>
    </w:p>
    <w:p w14:paraId="7DCF074F" w14:textId="77777777" w:rsidR="00027B38" w:rsidRPr="00504E0D" w:rsidRDefault="00027B38" w:rsidP="00027B38">
      <w:pPr>
        <w:autoSpaceDE w:val="0"/>
        <w:autoSpaceDN w:val="0"/>
        <w:adjustRightInd w:val="0"/>
        <w:spacing w:after="120"/>
        <w:rPr>
          <w:rFonts w:cs="Arial"/>
          <w:color w:val="000000"/>
        </w:rPr>
      </w:pPr>
    </w:p>
    <w:p w14:paraId="0D8144B9" w14:textId="77777777" w:rsidR="001856B8" w:rsidRPr="00027B38" w:rsidRDefault="001856B8" w:rsidP="00027B38"/>
    <w:sectPr w:rsidR="001856B8" w:rsidRPr="00027B38" w:rsidSect="000278B3">
      <w:headerReference w:type="default" r:id="rId12"/>
      <w:footerReference w:type="default" r:id="rId13"/>
      <w:pgSz w:w="11906" w:h="16838"/>
      <w:pgMar w:top="311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23A5F" w14:textId="77777777" w:rsidR="00F37C95" w:rsidRDefault="00F37C95" w:rsidP="004533F9">
      <w:r>
        <w:separator/>
      </w:r>
    </w:p>
  </w:endnote>
  <w:endnote w:type="continuationSeparator" w:id="0">
    <w:p w14:paraId="4E8AA8D8" w14:textId="77777777" w:rsidR="00F37C95" w:rsidRDefault="00F37C95" w:rsidP="0045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479892"/>
      <w:docPartObj>
        <w:docPartGallery w:val="Page Numbers (Bottom of Page)"/>
        <w:docPartUnique/>
      </w:docPartObj>
    </w:sdtPr>
    <w:sdtEndPr/>
    <w:sdtContent>
      <w:p w14:paraId="57DD09C7" w14:textId="77777777" w:rsidR="00522DD0" w:rsidRDefault="00522DD0">
        <w:pPr>
          <w:pStyle w:val="Piedepgina"/>
          <w:jc w:val="right"/>
        </w:pPr>
      </w:p>
      <w:p w14:paraId="55CD091C" w14:textId="5D928596" w:rsidR="00F37F0A" w:rsidRDefault="00B419EF">
        <w:pPr>
          <w:pStyle w:val="Piedepgina"/>
          <w:jc w:val="right"/>
        </w:pPr>
        <w:r>
          <w:rPr>
            <w:rFonts w:cstheme="minorHAnsi"/>
          </w:rPr>
          <w:t>53/2026</w:t>
        </w:r>
        <w:r w:rsidR="00046E85">
          <w:tab/>
        </w:r>
        <w:r w:rsidR="00046E85">
          <w:tab/>
        </w:r>
        <w:r w:rsidR="00C32D15">
          <w:fldChar w:fldCharType="begin"/>
        </w:r>
        <w:r w:rsidR="00C32D15">
          <w:instrText xml:space="preserve"> PAGE   \* MERGEFORMAT </w:instrText>
        </w:r>
        <w:r w:rsidR="00C32D15">
          <w:fldChar w:fldCharType="separate"/>
        </w:r>
        <w:r w:rsidR="00F605D5">
          <w:rPr>
            <w:noProof/>
          </w:rPr>
          <w:t>2</w:t>
        </w:r>
        <w:r w:rsidR="00C32D1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8294" w14:textId="77777777" w:rsidR="00F37C95" w:rsidRDefault="00F37C95" w:rsidP="004533F9">
      <w:r>
        <w:separator/>
      </w:r>
    </w:p>
  </w:footnote>
  <w:footnote w:type="continuationSeparator" w:id="0">
    <w:p w14:paraId="4C673E30" w14:textId="77777777" w:rsidR="00F37C95" w:rsidRDefault="00F37C95" w:rsidP="00453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7791" w14:textId="390F46E5" w:rsidR="00F37F0A" w:rsidRPr="00B419EF" w:rsidRDefault="00B419EF" w:rsidP="00B419EF">
    <w:pPr>
      <w:pStyle w:val="Encabezado"/>
    </w:pPr>
    <w:r>
      <w:rPr>
        <w:rFonts w:cs="Arial"/>
        <w:b/>
        <w:noProof/>
        <w:lang w:val="es-ES" w:bidi="hi-IN"/>
      </w:rPr>
      <w:drawing>
        <wp:anchor distT="0" distB="0" distL="114300" distR="114300" simplePos="0" relativeHeight="251658240" behindDoc="0" locked="0" layoutInCell="1" allowOverlap="1" wp14:anchorId="1186D433" wp14:editId="6EA19198">
          <wp:simplePos x="0" y="0"/>
          <wp:positionH relativeFrom="column">
            <wp:posOffset>3621978</wp:posOffset>
          </wp:positionH>
          <wp:positionV relativeFrom="paragraph">
            <wp:posOffset>-71361</wp:posOffset>
          </wp:positionV>
          <wp:extent cx="2051685" cy="1027430"/>
          <wp:effectExtent l="0" t="0" r="5715" b="1270"/>
          <wp:wrapNone/>
          <wp:docPr id="660499777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3BE3">
      <w:rPr>
        <w:rFonts w:cs="Arial"/>
        <w:b/>
        <w:lang w:val="es-ES" w:bidi="hi-IN"/>
      </w:rPr>
      <w:fldChar w:fldCharType="begin"/>
    </w:r>
    <w:r w:rsidRPr="009E3BE3">
      <w:rPr>
        <w:rFonts w:cs="Arial"/>
        <w:b/>
        <w:lang w:val="es-ES" w:bidi="hi-IN"/>
      </w:rPr>
      <w:instrText xml:space="preserve"> INCLUDEPICTURE "Z:\\AREA JURIDICA\\Contractacio\\CONTRACTACIÓ\\09. MANUALS I PROCEDIMENTS\\icones ODS\\ODS_10_reduccio_desigualtats.jpg" \* MERGEFORMATINET </w:instrText>
    </w:r>
    <w:r w:rsidRPr="009E3BE3">
      <w:rPr>
        <w:rFonts w:cs="Arial"/>
        <w:b/>
        <w:lang w:val="es-ES" w:bidi="hi-IN"/>
      </w:rPr>
      <w:fldChar w:fldCharType="separate"/>
    </w:r>
    <w:r w:rsidR="00F37C95">
      <w:rPr>
        <w:rFonts w:cs="Arial"/>
        <w:b/>
        <w:lang w:val="es-ES"/>
      </w:rPr>
      <w:fldChar w:fldCharType="begin"/>
    </w:r>
    <w:r w:rsidR="00F37C95">
      <w:rPr>
        <w:rFonts w:cs="Arial"/>
        <w:b/>
        <w:lang w:val="es-ES"/>
      </w:rPr>
      <w:instrText xml:space="preserve"> INCLUDEPICTURE  "Z:\\AREA JURIDICA\\Contractacio\\CONTRACTACIÓ\\09. MANUALS I PROCEDIMENTS\\icones ODS\\ODS_10_reduccio_desigualtats.jpg" \* MERGEFORMATINET </w:instrText>
    </w:r>
    <w:r w:rsidR="00F37C95">
      <w:rPr>
        <w:rFonts w:cs="Arial"/>
        <w:b/>
        <w:lang w:val="es-ES"/>
      </w:rPr>
      <w:fldChar w:fldCharType="separate"/>
    </w:r>
    <w:r w:rsidR="008842CB">
      <w:rPr>
        <w:rFonts w:cs="Arial"/>
        <w:b/>
        <w:lang w:val="es-ES"/>
      </w:rPr>
      <w:fldChar w:fldCharType="begin"/>
    </w:r>
    <w:r w:rsidR="008842CB">
      <w:rPr>
        <w:rFonts w:cs="Arial"/>
        <w:b/>
        <w:lang w:val="es-ES"/>
      </w:rPr>
      <w:instrText xml:space="preserve"> </w:instrText>
    </w:r>
    <w:r w:rsidR="008842CB">
      <w:rPr>
        <w:rFonts w:cs="Arial"/>
        <w:b/>
        <w:lang w:val="es-ES"/>
      </w:rPr>
      <w:instrText>INCLUDEPICTURE  "https://sumaracciosocialcat0.sharepoint.com/sites/DocumentsSUMAR/JURDIC/CONTRACTACIÓ/09. MANUALS I PROCEDIMENTS/icones ODS/ODS_10_reduccio_desigualtats.jpg" \* MERGEFORMATINET</w:instrText>
    </w:r>
    <w:r w:rsidR="008842CB">
      <w:rPr>
        <w:rFonts w:cs="Arial"/>
        <w:b/>
        <w:lang w:val="es-ES"/>
      </w:rPr>
      <w:instrText xml:space="preserve"> </w:instrText>
    </w:r>
    <w:r w:rsidR="008842CB">
      <w:rPr>
        <w:rFonts w:cs="Arial"/>
        <w:b/>
        <w:lang w:val="es-ES"/>
      </w:rPr>
      <w:fldChar w:fldCharType="separate"/>
    </w:r>
    <w:r w:rsidR="008842CB">
      <w:rPr>
        <w:rFonts w:cs="Arial"/>
        <w:b/>
        <w:lang w:val="es-ES"/>
      </w:rPr>
      <w:pict w14:anchorId="492B89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;mso-position-horizontal:absolute;mso-position-horizontal-relative:text;mso-position-vertical:absolute;mso-position-vertical-relative:text">
          <v:imagedata r:id="rId2" r:href="rId3"/>
        </v:shape>
      </w:pict>
    </w:r>
    <w:r w:rsidR="008842CB">
      <w:rPr>
        <w:rFonts w:cs="Arial"/>
        <w:b/>
        <w:lang w:val="es-ES"/>
      </w:rPr>
      <w:fldChar w:fldCharType="end"/>
    </w:r>
    <w:r w:rsidR="00F37C95">
      <w:rPr>
        <w:rFonts w:cs="Arial"/>
        <w:b/>
        <w:lang w:val="es-ES"/>
      </w:rPr>
      <w:fldChar w:fldCharType="end"/>
    </w:r>
    <w:r w:rsidRPr="009E3BE3">
      <w:rPr>
        <w:rFonts w:cs="Arial"/>
        <w:b/>
        <w:lang w:bidi="hi-IN"/>
      </w:rPr>
      <w:fldChar w:fldCharType="end"/>
    </w:r>
    <w:r>
      <w:rPr>
        <w:rFonts w:ascii="Times New Roman" w:hAnsi="Times New Roman"/>
        <w:noProof/>
        <w:sz w:val="24"/>
        <w:lang w:val="es-ES" w:eastAsia="es-ES"/>
      </w:rPr>
      <w:t xml:space="preserve"> </w:t>
    </w:r>
    <w:r w:rsidRPr="009E3BE3">
      <w:rPr>
        <w:rFonts w:ascii="Times New Roman" w:hAnsi="Times New Roman"/>
        <w:noProof/>
        <w:sz w:val="24"/>
        <w:lang w:val="es-ES" w:eastAsia="es-ES"/>
      </w:rPr>
      <w:drawing>
        <wp:inline distT="0" distB="0" distL="0" distR="0" wp14:anchorId="263996B4" wp14:editId="2DC9C1AE">
          <wp:extent cx="828000" cy="828000"/>
          <wp:effectExtent l="0" t="0" r="0" b="0"/>
          <wp:docPr id="81590892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sz w:val="24"/>
        <w:lang w:val="es-ES" w:eastAsia="es-ES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0A05E3"/>
    <w:multiLevelType w:val="hybridMultilevel"/>
    <w:tmpl w:val="CD3C1D12"/>
    <w:lvl w:ilvl="0" w:tplc="872412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499498">
    <w:abstractNumId w:val="1"/>
  </w:num>
  <w:num w:numId="2" w16cid:durableId="1842551106">
    <w:abstractNumId w:val="0"/>
  </w:num>
  <w:num w:numId="3" w16cid:durableId="2138377131">
    <w:abstractNumId w:val="3"/>
  </w:num>
  <w:num w:numId="4" w16cid:durableId="177494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6B8"/>
    <w:rsid w:val="00005C00"/>
    <w:rsid w:val="000132A0"/>
    <w:rsid w:val="00024291"/>
    <w:rsid w:val="000278B3"/>
    <w:rsid w:val="00027B38"/>
    <w:rsid w:val="00046E85"/>
    <w:rsid w:val="000557EA"/>
    <w:rsid w:val="000A2CA6"/>
    <w:rsid w:val="000B16E6"/>
    <w:rsid w:val="000B3DFE"/>
    <w:rsid w:val="000C6EE0"/>
    <w:rsid w:val="000D1B0D"/>
    <w:rsid w:val="000F0CB2"/>
    <w:rsid w:val="000F4B3F"/>
    <w:rsid w:val="001025C5"/>
    <w:rsid w:val="001061CC"/>
    <w:rsid w:val="00113E04"/>
    <w:rsid w:val="001856B8"/>
    <w:rsid w:val="00191764"/>
    <w:rsid w:val="00195D64"/>
    <w:rsid w:val="001A3800"/>
    <w:rsid w:val="001A4623"/>
    <w:rsid w:val="001D5571"/>
    <w:rsid w:val="001E1A81"/>
    <w:rsid w:val="001F7B16"/>
    <w:rsid w:val="00220185"/>
    <w:rsid w:val="00252870"/>
    <w:rsid w:val="002B1F6E"/>
    <w:rsid w:val="002C0582"/>
    <w:rsid w:val="002D4971"/>
    <w:rsid w:val="002F0A2E"/>
    <w:rsid w:val="002F2162"/>
    <w:rsid w:val="002F2CCA"/>
    <w:rsid w:val="002F3ABE"/>
    <w:rsid w:val="002F57A2"/>
    <w:rsid w:val="003329C6"/>
    <w:rsid w:val="00345F20"/>
    <w:rsid w:val="003647F2"/>
    <w:rsid w:val="0037109A"/>
    <w:rsid w:val="003B7024"/>
    <w:rsid w:val="003D1717"/>
    <w:rsid w:val="003D3AB7"/>
    <w:rsid w:val="003D485E"/>
    <w:rsid w:val="003D77A3"/>
    <w:rsid w:val="003E4724"/>
    <w:rsid w:val="00415DD6"/>
    <w:rsid w:val="004259F7"/>
    <w:rsid w:val="00426065"/>
    <w:rsid w:val="0042635B"/>
    <w:rsid w:val="004533F9"/>
    <w:rsid w:val="004A6C86"/>
    <w:rsid w:val="004B0356"/>
    <w:rsid w:val="004D5825"/>
    <w:rsid w:val="004E11BB"/>
    <w:rsid w:val="004F0D1E"/>
    <w:rsid w:val="00505271"/>
    <w:rsid w:val="0051230A"/>
    <w:rsid w:val="00522DD0"/>
    <w:rsid w:val="005514F7"/>
    <w:rsid w:val="005573AC"/>
    <w:rsid w:val="005732C6"/>
    <w:rsid w:val="005821AD"/>
    <w:rsid w:val="005C199A"/>
    <w:rsid w:val="005D26C2"/>
    <w:rsid w:val="005E20E5"/>
    <w:rsid w:val="005F138E"/>
    <w:rsid w:val="006161AB"/>
    <w:rsid w:val="0064297B"/>
    <w:rsid w:val="0065022A"/>
    <w:rsid w:val="00654786"/>
    <w:rsid w:val="0066605D"/>
    <w:rsid w:val="0067193D"/>
    <w:rsid w:val="00672917"/>
    <w:rsid w:val="00680C48"/>
    <w:rsid w:val="0068454C"/>
    <w:rsid w:val="006B4DA0"/>
    <w:rsid w:val="006D2073"/>
    <w:rsid w:val="006E29C9"/>
    <w:rsid w:val="006E41FC"/>
    <w:rsid w:val="006F1A1B"/>
    <w:rsid w:val="006F2458"/>
    <w:rsid w:val="007019F7"/>
    <w:rsid w:val="00707DDF"/>
    <w:rsid w:val="007116DD"/>
    <w:rsid w:val="007146AA"/>
    <w:rsid w:val="00725F4F"/>
    <w:rsid w:val="007306CF"/>
    <w:rsid w:val="00735709"/>
    <w:rsid w:val="00754718"/>
    <w:rsid w:val="007D1843"/>
    <w:rsid w:val="007D7201"/>
    <w:rsid w:val="007E6588"/>
    <w:rsid w:val="00801801"/>
    <w:rsid w:val="00801CED"/>
    <w:rsid w:val="00812F0A"/>
    <w:rsid w:val="0081355B"/>
    <w:rsid w:val="0082211D"/>
    <w:rsid w:val="00855418"/>
    <w:rsid w:val="00874B25"/>
    <w:rsid w:val="008809E3"/>
    <w:rsid w:val="008842CB"/>
    <w:rsid w:val="008900D6"/>
    <w:rsid w:val="008949EA"/>
    <w:rsid w:val="008B5C7D"/>
    <w:rsid w:val="008D0CF8"/>
    <w:rsid w:val="008D12F7"/>
    <w:rsid w:val="008D7701"/>
    <w:rsid w:val="008E3212"/>
    <w:rsid w:val="008E3820"/>
    <w:rsid w:val="009033FA"/>
    <w:rsid w:val="00905808"/>
    <w:rsid w:val="0092097A"/>
    <w:rsid w:val="00927C08"/>
    <w:rsid w:val="009404E8"/>
    <w:rsid w:val="009575DD"/>
    <w:rsid w:val="00965C25"/>
    <w:rsid w:val="0099665C"/>
    <w:rsid w:val="009B0099"/>
    <w:rsid w:val="009C12B5"/>
    <w:rsid w:val="009D1F16"/>
    <w:rsid w:val="009D5654"/>
    <w:rsid w:val="009D5C6F"/>
    <w:rsid w:val="009E660C"/>
    <w:rsid w:val="009F117C"/>
    <w:rsid w:val="009F3301"/>
    <w:rsid w:val="009F7DA7"/>
    <w:rsid w:val="00A14FB1"/>
    <w:rsid w:val="00A405A1"/>
    <w:rsid w:val="00A43D5C"/>
    <w:rsid w:val="00A55C64"/>
    <w:rsid w:val="00A772BF"/>
    <w:rsid w:val="00A8729C"/>
    <w:rsid w:val="00A954C4"/>
    <w:rsid w:val="00AA5F81"/>
    <w:rsid w:val="00B119F5"/>
    <w:rsid w:val="00B17DC0"/>
    <w:rsid w:val="00B418CD"/>
    <w:rsid w:val="00B419EF"/>
    <w:rsid w:val="00B572FC"/>
    <w:rsid w:val="00B61848"/>
    <w:rsid w:val="00B73F08"/>
    <w:rsid w:val="00B77BD7"/>
    <w:rsid w:val="00B80751"/>
    <w:rsid w:val="00B84163"/>
    <w:rsid w:val="00BB3180"/>
    <w:rsid w:val="00BC6337"/>
    <w:rsid w:val="00BE17DC"/>
    <w:rsid w:val="00BE2B79"/>
    <w:rsid w:val="00C17585"/>
    <w:rsid w:val="00C17BCF"/>
    <w:rsid w:val="00C32D15"/>
    <w:rsid w:val="00C501BA"/>
    <w:rsid w:val="00C50A2E"/>
    <w:rsid w:val="00C6022D"/>
    <w:rsid w:val="00CD05FC"/>
    <w:rsid w:val="00CE64F1"/>
    <w:rsid w:val="00CE6D58"/>
    <w:rsid w:val="00CE71BB"/>
    <w:rsid w:val="00D0097B"/>
    <w:rsid w:val="00D00AC2"/>
    <w:rsid w:val="00D14DC5"/>
    <w:rsid w:val="00D206B0"/>
    <w:rsid w:val="00D22AFD"/>
    <w:rsid w:val="00D246D0"/>
    <w:rsid w:val="00D35BBB"/>
    <w:rsid w:val="00D43B23"/>
    <w:rsid w:val="00D467A7"/>
    <w:rsid w:val="00D65847"/>
    <w:rsid w:val="00D704B5"/>
    <w:rsid w:val="00D806AD"/>
    <w:rsid w:val="00D835A6"/>
    <w:rsid w:val="00D849AF"/>
    <w:rsid w:val="00D97752"/>
    <w:rsid w:val="00DB46BD"/>
    <w:rsid w:val="00DE14F1"/>
    <w:rsid w:val="00E13FBE"/>
    <w:rsid w:val="00E45FFB"/>
    <w:rsid w:val="00E7361D"/>
    <w:rsid w:val="00E83C1E"/>
    <w:rsid w:val="00EC7AC8"/>
    <w:rsid w:val="00ED3BB0"/>
    <w:rsid w:val="00ED4D89"/>
    <w:rsid w:val="00EE5BDB"/>
    <w:rsid w:val="00EF7325"/>
    <w:rsid w:val="00F03485"/>
    <w:rsid w:val="00F13548"/>
    <w:rsid w:val="00F37C95"/>
    <w:rsid w:val="00F37F0A"/>
    <w:rsid w:val="00F605D5"/>
    <w:rsid w:val="00F645DB"/>
    <w:rsid w:val="00F66D2F"/>
    <w:rsid w:val="00F751D5"/>
    <w:rsid w:val="00F843BA"/>
    <w:rsid w:val="00F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65FE"/>
  <w15:docId w15:val="{59307355-0956-420F-835C-0A2F8C05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6B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ui1">
    <w:name w:val="gui1"/>
    <w:basedOn w:val="Normal"/>
    <w:rsid w:val="001856B8"/>
    <w:pPr>
      <w:jc w:val="left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1856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rsid w:val="006B4DA0"/>
    <w:pPr>
      <w:suppressAutoHyphens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6B4DA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33F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533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33F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4533F9"/>
    <w:rPr>
      <w:color w:val="0000FF" w:themeColor="hyperlink"/>
      <w:u w:val="single"/>
    </w:rPr>
  </w:style>
  <w:style w:type="paragraph" w:customStyle="1" w:styleId="Prrafobase1">
    <w:name w:val="Párrafo base1"/>
    <w:basedOn w:val="Normal"/>
    <w:rsid w:val="00B572FC"/>
    <w:pPr>
      <w:suppressAutoHyphens/>
      <w:spacing w:after="240"/>
    </w:pPr>
    <w:rPr>
      <w:rFonts w:ascii="Helvetica" w:eastAsia="Times New Roman" w:hAnsi="Helvetica" w:cs="Helvetica"/>
      <w:sz w:val="24"/>
      <w:szCs w:val="20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sid w:val="00894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49E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49EA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4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49EA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9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9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../../../09.%20MANUALS%20I%20PROCEDIMENTS/icones%20ODS/ODS_10_reduccio_desigualtats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8" ma:contentTypeDescription="Crea un document nou" ma:contentTypeScope="" ma:versionID="6002db01328c487fde0a5e4d47eb7abd">
  <xsd:schema xmlns:xsd="http://www.w3.org/2001/XMLSchema" xmlns:xs="http://www.w3.org/2001/XMLSchema" xmlns:p="http://schemas.microsoft.com/office/2006/metadata/properties" xmlns:ns2="5cbab676-f201-45ff-a35f-2f1ef5a9ed95" targetNamespace="http://schemas.microsoft.com/office/2006/metadata/properties" ma:root="true" ma:fieldsID="5b4b5ce59f027acbf752e8275e1c003b" ns2:_="">
    <xsd:import namespace="5cbab676-f201-45ff-a35f-2f1ef5a9e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D461BE-E129-41F5-81E5-568C5F50B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29A0E-67F3-4568-ABBA-5C0EAD1AF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987BA-338E-4783-A251-353389E220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632</Words>
  <Characters>3478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Esther Domínguez i Tarré</cp:lastModifiedBy>
  <cp:revision>9</cp:revision>
  <dcterms:created xsi:type="dcterms:W3CDTF">2022-09-27T08:41:00Z</dcterms:created>
  <dcterms:modified xsi:type="dcterms:W3CDTF">2026-03-09T07:08:00Z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6906000</vt:r8>
  </property>
</Properties>
</file>