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16" w:rsidRDefault="00C03316" w:rsidP="00E866C4">
      <w:pPr>
        <w:spacing w:after="0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</w:p>
    <w:p w:rsidR="001F62E9" w:rsidRDefault="001F62E9" w:rsidP="001F62E9">
      <w:pPr>
        <w:spacing w:after="0" w:line="360" w:lineRule="auto"/>
        <w:jc w:val="center"/>
        <w:rPr>
          <w:rFonts w:ascii="Arial" w:eastAsia="Times New Roman" w:hAnsi="Arial" w:cs="Arial"/>
          <w:b/>
          <w:spacing w:val="-3"/>
        </w:rPr>
      </w:pPr>
    </w:p>
    <w:p w:rsidR="006B6B44" w:rsidRDefault="006B6B44" w:rsidP="001F62E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9C6681">
        <w:rPr>
          <w:rFonts w:ascii="Arial" w:eastAsia="Times New Roman" w:hAnsi="Arial" w:cs="Arial"/>
          <w:b/>
          <w:spacing w:val="-3"/>
        </w:rPr>
        <w:t>ANNEX</w:t>
      </w:r>
      <w:r w:rsidRPr="009C6681">
        <w:rPr>
          <w:rFonts w:ascii="Arial" w:eastAsia="Times New Roman" w:hAnsi="Arial" w:cs="Arial"/>
          <w:b/>
        </w:rPr>
        <w:t xml:space="preserve"> OFERTA </w:t>
      </w:r>
      <w:r>
        <w:rPr>
          <w:rFonts w:ascii="Arial" w:hAnsi="Arial" w:cs="Arial"/>
          <w:b/>
        </w:rPr>
        <w:t>ECONÒMICA</w:t>
      </w:r>
    </w:p>
    <w:p w:rsidR="006B6B44" w:rsidRPr="00B43083" w:rsidRDefault="006B6B44" w:rsidP="001F62E9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(SOBRE ÚNIC DIGITAL)</w:t>
      </w:r>
    </w:p>
    <w:p w:rsidR="006B6B44" w:rsidRPr="00170E13" w:rsidRDefault="006B6B44" w:rsidP="006B6B44">
      <w:pPr>
        <w:jc w:val="both"/>
        <w:rPr>
          <w:rFonts w:ascii="Arial" w:eastAsia="Times New Roman" w:hAnsi="Arial" w:cs="Arial"/>
          <w:b/>
          <w:spacing w:val="-3"/>
        </w:rPr>
      </w:pPr>
    </w:p>
    <w:p w:rsidR="006B6B44" w:rsidRPr="009C6681" w:rsidRDefault="006B6B44" w:rsidP="006B6B44">
      <w:pPr>
        <w:pStyle w:val="Textoindependiente"/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</w:rPr>
      </w:pPr>
      <w:r w:rsidRPr="009C6681">
        <w:rPr>
          <w:rFonts w:ascii="Arial" w:eastAsia="Times New Roman" w:hAnsi="Arial" w:cs="Arial"/>
          <w:snapToGrid w:val="0"/>
          <w:sz w:val="20"/>
        </w:rPr>
        <w:t xml:space="preserve">Qui sotasigna, el/la senyor/a ....................................................................................., major d’edat, amb DNI/NIE núm.............................., en nom propi / en qualitat de representant legal de la persona física/jurídica ...................................................................................., amb NIF núm. ........................................, amb capacitat jurídica i d’obrar, assabentat del Plec de prescripcions tècniques i de clàusules administratives particulars que han de regir la contractació promoguda per l’Ajuntament de Mataró i als efectes de licitar en el procediment d'adjudicació obert </w:t>
      </w:r>
      <w:r>
        <w:rPr>
          <w:rFonts w:ascii="Arial" w:eastAsia="Times New Roman" w:hAnsi="Arial" w:cs="Arial"/>
          <w:snapToGrid w:val="0"/>
          <w:sz w:val="20"/>
        </w:rPr>
        <w:t xml:space="preserve">simplificat abreujat </w:t>
      </w:r>
      <w:r w:rsidRPr="009C6681">
        <w:rPr>
          <w:rFonts w:ascii="Arial" w:eastAsia="Times New Roman" w:hAnsi="Arial" w:cs="Arial"/>
          <w:snapToGrid w:val="0"/>
          <w:sz w:val="20"/>
        </w:rPr>
        <w:t xml:space="preserve">del </w:t>
      </w:r>
      <w:r>
        <w:rPr>
          <w:rFonts w:ascii="Arial" w:eastAsia="Times New Roman" w:hAnsi="Arial" w:cs="Arial"/>
          <w:b/>
          <w:sz w:val="20"/>
        </w:rPr>
        <w:t>contracte de subministrament d’equipament mobiliari i instrumental per al Centre de Protecció d’Animals de Companyia de Mataró</w:t>
      </w:r>
      <w:r>
        <w:rPr>
          <w:rFonts w:ascii="Arial" w:hAnsi="Arial" w:cs="Arial"/>
          <w:b/>
          <w:sz w:val="20"/>
        </w:rPr>
        <w:t xml:space="preserve"> (</w:t>
      </w:r>
      <w:r w:rsidRPr="009C6681">
        <w:rPr>
          <w:rFonts w:ascii="Arial" w:eastAsia="Times New Roman" w:hAnsi="Arial" w:cs="Arial"/>
          <w:b/>
          <w:sz w:val="20"/>
        </w:rPr>
        <w:t>expedient n</w:t>
      </w:r>
      <w:r>
        <w:rPr>
          <w:rFonts w:ascii="Arial" w:eastAsia="Times New Roman" w:hAnsi="Arial" w:cs="Arial"/>
          <w:b/>
          <w:sz w:val="20"/>
        </w:rPr>
        <w:t>úm. 2026/000008274</w:t>
      </w:r>
      <w:r>
        <w:rPr>
          <w:rFonts w:ascii="Arial" w:hAnsi="Arial" w:cs="Arial"/>
          <w:b/>
          <w:sz w:val="20"/>
        </w:rPr>
        <w:t>),</w:t>
      </w:r>
    </w:p>
    <w:p w:rsidR="006B6B44" w:rsidRDefault="006B6B44" w:rsidP="006B6B44">
      <w:pPr>
        <w:jc w:val="both"/>
        <w:rPr>
          <w:rFonts w:ascii="Arial" w:eastAsia="Times New Roman" w:hAnsi="Arial" w:cs="Arial"/>
          <w:b/>
        </w:rPr>
      </w:pPr>
    </w:p>
    <w:p w:rsidR="006B6B44" w:rsidRDefault="006B6B44" w:rsidP="006B6B44">
      <w:pPr>
        <w:jc w:val="both"/>
        <w:rPr>
          <w:rFonts w:ascii="Arial" w:hAnsi="Arial" w:cs="Arial"/>
        </w:rPr>
      </w:pPr>
      <w:r w:rsidRPr="00272B4E">
        <w:rPr>
          <w:rFonts w:ascii="Arial" w:eastAsia="Times New Roman" w:hAnsi="Arial" w:cs="Arial"/>
          <w:b/>
        </w:rPr>
        <w:t>DECLARO:</w:t>
      </w:r>
      <w:r w:rsidRPr="00272B4E">
        <w:rPr>
          <w:rFonts w:ascii="Arial" w:eastAsia="Times New Roman" w:hAnsi="Arial" w:cs="Arial"/>
        </w:rPr>
        <w:t> </w:t>
      </w:r>
    </w:p>
    <w:p w:rsidR="006B6B44" w:rsidRPr="00272B4E" w:rsidRDefault="006B6B44" w:rsidP="006B6B44">
      <w:pPr>
        <w:spacing w:after="0"/>
        <w:jc w:val="both"/>
        <w:rPr>
          <w:rFonts w:ascii="Arial" w:eastAsia="Times New Roman" w:hAnsi="Arial" w:cs="Arial"/>
        </w:rPr>
      </w:pPr>
    </w:p>
    <w:p w:rsidR="006B6B44" w:rsidRDefault="006B6B44" w:rsidP="006B6B44">
      <w:pPr>
        <w:pStyle w:val="Textoindependiente"/>
        <w:spacing w:after="0"/>
        <w:jc w:val="both"/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9C6681">
        <w:rPr>
          <w:rFonts w:ascii="Arial" w:eastAsia="Times New Roman" w:hAnsi="Arial" w:cs="Arial"/>
          <w:sz w:val="20"/>
        </w:rPr>
        <w:t>Que</w:t>
      </w:r>
      <w:r>
        <w:rPr>
          <w:rFonts w:ascii="Arial" w:hAnsi="Arial" w:cs="Arial"/>
          <w:sz w:val="20"/>
        </w:rPr>
        <w:t xml:space="preserve">, per al </w:t>
      </w:r>
      <w:r w:rsidRPr="001F62E9">
        <w:rPr>
          <w:rFonts w:ascii="Arial" w:hAnsi="Arial" w:cs="Arial"/>
          <w:b/>
          <w:sz w:val="20"/>
          <w:u w:val="single"/>
        </w:rPr>
        <w:t>Lot 1</w:t>
      </w:r>
      <w:r>
        <w:rPr>
          <w:rFonts w:ascii="Arial" w:hAnsi="Arial" w:cs="Arial"/>
          <w:sz w:val="20"/>
        </w:rPr>
        <w:t xml:space="preserve"> (Subministrament de mobiliari),</w:t>
      </w:r>
      <w:r w:rsidRPr="009C6681">
        <w:rPr>
          <w:rFonts w:ascii="Arial" w:eastAsia="Times New Roman" w:hAnsi="Arial" w:cs="Arial"/>
          <w:sz w:val="20"/>
        </w:rPr>
        <w:t xml:space="preserve"> ofereixo executar el contracte per un preu </w:t>
      </w:r>
      <w:r>
        <w:rPr>
          <w:rFonts w:ascii="Arial" w:hAnsi="Arial" w:cs="Arial"/>
          <w:sz w:val="20"/>
        </w:rPr>
        <w:t>total</w:t>
      </w:r>
      <w:r w:rsidRPr="009C6681">
        <w:rPr>
          <w:rFonts w:ascii="Arial" w:eastAsia="Times New Roman" w:hAnsi="Arial" w:cs="Arial"/>
          <w:sz w:val="20"/>
        </w:rPr>
        <w:t xml:space="preserve"> de </w:t>
      </w:r>
      <w:r w:rsidRPr="009C6681">
        <w:rPr>
          <w:rFonts w:ascii="Arial" w:eastAsia="Times New Roman" w:hAnsi="Arial" w:cs="Arial"/>
          <w:color w:val="808080"/>
          <w:sz w:val="20"/>
        </w:rPr>
        <w:t>(</w:t>
      </w:r>
      <w:r w:rsidRPr="009C6681">
        <w:rPr>
          <w:rFonts w:ascii="Arial" w:eastAsia="Times New Roman" w:hAnsi="Arial" w:cs="Arial"/>
          <w:i/>
          <w:color w:val="808080"/>
          <w:sz w:val="20"/>
        </w:rPr>
        <w:t>indicar en números i en lletres</w:t>
      </w:r>
      <w:r w:rsidRPr="009C6681">
        <w:rPr>
          <w:rFonts w:ascii="Arial" w:eastAsia="Times New Roman" w:hAnsi="Arial" w:cs="Arial"/>
          <w:color w:val="808080"/>
          <w:sz w:val="20"/>
        </w:rPr>
        <w:t>)</w:t>
      </w:r>
      <w:r w:rsidRPr="009C6681">
        <w:rPr>
          <w:rFonts w:ascii="Arial" w:eastAsia="Times New Roman" w:hAnsi="Arial" w:cs="Arial"/>
          <w:sz w:val="20"/>
        </w:rPr>
        <w:t xml:space="preserve"> </w:t>
      </w:r>
      <w:r w:rsidRPr="009C6681">
        <w:rPr>
          <w:rFonts w:ascii="Arial" w:eastAsia="Times New Roman" w:hAnsi="Arial" w:cs="Arial"/>
          <w:b/>
          <w:sz w:val="20"/>
        </w:rPr>
        <w:t>....................................</w:t>
      </w:r>
      <w:r>
        <w:rPr>
          <w:rFonts w:ascii="Arial" w:hAnsi="Arial" w:cs="Arial"/>
          <w:b/>
          <w:sz w:val="20"/>
        </w:rPr>
        <w:t>..</w:t>
      </w:r>
      <w:r w:rsidRPr="009C6681">
        <w:rPr>
          <w:rFonts w:ascii="Arial" w:eastAsia="Times New Roman" w:hAnsi="Arial" w:cs="Arial"/>
          <w:b/>
          <w:sz w:val="20"/>
        </w:rPr>
        <w:t>...............</w:t>
      </w:r>
      <w:r>
        <w:rPr>
          <w:rFonts w:ascii="Arial" w:hAnsi="Arial" w:cs="Arial"/>
          <w:b/>
          <w:sz w:val="20"/>
        </w:rPr>
        <w:t>......</w:t>
      </w:r>
      <w:r w:rsidRPr="009C6681">
        <w:rPr>
          <w:rFonts w:ascii="Arial" w:eastAsia="Times New Roman" w:hAnsi="Arial" w:cs="Arial"/>
          <w:b/>
          <w:sz w:val="20"/>
        </w:rPr>
        <w:t xml:space="preserve">.............................. € IVA NO </w:t>
      </w:r>
      <w:r>
        <w:rPr>
          <w:rFonts w:ascii="Arial" w:hAnsi="Arial" w:cs="Arial"/>
          <w:b/>
          <w:sz w:val="20"/>
        </w:rPr>
        <w:t>inclòs</w:t>
      </w:r>
      <w:r w:rsidRPr="009C6681">
        <w:rPr>
          <w:rFonts w:ascii="Arial" w:eastAsia="Times New Roman" w:hAnsi="Arial" w:cs="Arial"/>
          <w:sz w:val="20"/>
        </w:rPr>
        <w:t xml:space="preserve">, amb el següent desglossament dels preus unitaris, IVA no inclòs, per a cada </w:t>
      </w:r>
      <w:r>
        <w:rPr>
          <w:rFonts w:ascii="Arial" w:hAnsi="Arial" w:cs="Arial"/>
          <w:sz w:val="20"/>
        </w:rPr>
        <w:t>producte:</w:t>
      </w:r>
      <w:r>
        <w:rPr>
          <w:rFonts w:ascii="Arial" w:eastAsia="Times New Roman" w:hAnsi="Arial" w:cs="Arial"/>
          <w:sz w:val="20"/>
        </w:rPr>
        <w:t xml:space="preserve"> </w:t>
      </w:r>
      <w:r w:rsidRPr="00B24A0C">
        <w:rPr>
          <w:rFonts w:ascii="Arial" w:eastAsia="Times New Roman" w:hAnsi="Arial" w:cs="Arial"/>
          <w:color w:val="808080"/>
          <w:sz w:val="20"/>
        </w:rPr>
        <w:t>(</w:t>
      </w:r>
      <w:r w:rsidRPr="00B24A0C">
        <w:rPr>
          <w:rFonts w:ascii="Arial" w:eastAsia="Times New Roman" w:hAnsi="Arial" w:cs="Arial"/>
          <w:i/>
          <w:color w:val="808080"/>
          <w:sz w:val="20"/>
        </w:rPr>
        <w:t>EMPLENEU ELS REQUADRES EN GRIS</w:t>
      </w:r>
      <w:r w:rsidRPr="00B24A0C">
        <w:rPr>
          <w:rFonts w:ascii="Arial" w:eastAsia="Times New Roman" w:hAnsi="Arial" w:cs="Arial"/>
          <w:color w:val="808080"/>
          <w:sz w:val="20"/>
        </w:rPr>
        <w:t>)</w:t>
      </w:r>
      <w:r w:rsidRPr="00B24A0C">
        <w:rPr>
          <w:rFonts w:ascii="Arial" w:hAnsi="Arial" w:cs="Arial"/>
          <w:color w:val="808080" w:themeColor="background1" w:themeShade="80"/>
          <w:sz w:val="20"/>
        </w:rPr>
        <w:t>;</w:t>
      </w:r>
      <w:r w:rsidRPr="00B24A0C">
        <w:rPr>
          <w:rFonts w:ascii="Arial" w:eastAsia="Times New Roman" w:hAnsi="Arial" w:cs="Arial"/>
          <w:color w:val="808080"/>
          <w:sz w:val="20"/>
        </w:rPr>
        <w:t xml:space="preserve">  (</w:t>
      </w:r>
      <w:r w:rsidRPr="00B24A0C">
        <w:rPr>
          <w:rFonts w:ascii="Arial" w:eastAsia="Times New Roman" w:hAnsi="Arial" w:cs="Arial"/>
          <w:i/>
          <w:color w:val="808080"/>
          <w:sz w:val="20"/>
        </w:rPr>
        <w:t>Els preus unitaris oferts no podran superar els preus unitaris màxims</w:t>
      </w:r>
      <w:r w:rsidRPr="00B24A0C">
        <w:rPr>
          <w:rFonts w:ascii="Arial" w:eastAsia="Times New Roman" w:hAnsi="Arial" w:cs="Arial"/>
          <w:i/>
          <w:color w:val="808080"/>
          <w:sz w:val="20"/>
          <w:szCs w:val="20"/>
        </w:rPr>
        <w:t xml:space="preserve">. </w:t>
      </w:r>
      <w:r w:rsidRPr="00B24A0C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>Del pr</w:t>
      </w:r>
      <w:r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 xml:space="preserve">essupost del Lot 1, 1.500,00 €, IVA no inclòs, </w:t>
      </w:r>
      <w:r w:rsidRPr="00B24A0C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>corresponen al muntatge del mobiliari. Aquest import té caràcter fix i, doncs, no formarà part de l’oferta a presentar pels licitadors. Per tant, el licitador proposarà el preu total ofert sense IVA, amb un import màxim de 25.563,52 € (27.063,52 € - 1.500,00 €).</w:t>
      </w:r>
    </w:p>
    <w:p w:rsidR="001F62E9" w:rsidRPr="00B24A0C" w:rsidRDefault="001F62E9" w:rsidP="006B6B44">
      <w:pPr>
        <w:pStyle w:val="Textoindependiente"/>
        <w:spacing w:after="0"/>
        <w:jc w:val="both"/>
        <w:rPr>
          <w:rFonts w:ascii="Arial" w:eastAsia="Times New Roman" w:hAnsi="Arial" w:cs="Arial"/>
          <w:color w:val="000000"/>
          <w:sz w:val="20"/>
        </w:rPr>
      </w:pPr>
    </w:p>
    <w:p w:rsidR="00E866C4" w:rsidRPr="00C03316" w:rsidRDefault="00E866C4" w:rsidP="00C03316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tbl>
      <w:tblPr>
        <w:tblW w:w="9433" w:type="dxa"/>
        <w:jc w:val="center"/>
        <w:tblInd w:w="-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/>
      </w:tblPr>
      <w:tblGrid>
        <w:gridCol w:w="3411"/>
        <w:gridCol w:w="827"/>
        <w:gridCol w:w="1127"/>
        <w:gridCol w:w="1514"/>
        <w:gridCol w:w="1197"/>
        <w:gridCol w:w="1357"/>
      </w:tblGrid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213FFD" w:rsidRDefault="006B6B44" w:rsidP="00213FFD">
            <w:pPr>
              <w:tabs>
                <w:tab w:val="left" w:pos="126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LOT 1</w:t>
            </w:r>
          </w:p>
          <w:p w:rsidR="00213FFD" w:rsidRPr="00213FFD" w:rsidRDefault="00213FFD" w:rsidP="00213FFD">
            <w:pPr>
              <w:tabs>
                <w:tab w:val="left" w:pos="126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Mobiliari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Unitats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-6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 unitari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màxim</w:t>
            </w:r>
          </w:p>
          <w:p w:rsidR="006B6B44" w:rsidRPr="006B6B44" w:rsidRDefault="006B6B44" w:rsidP="006B6B44">
            <w:pPr>
              <w:spacing w:after="0" w:line="240" w:lineRule="auto"/>
              <w:ind w:lef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ense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IVA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</w:tcPr>
          <w:p w:rsidR="006B6B44" w:rsidRPr="006B6B44" w:rsidRDefault="006B6B44" w:rsidP="006B6B44">
            <w:pPr>
              <w:spacing w:after="0" w:line="240" w:lineRule="auto"/>
              <w:ind w:left="-6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 unitari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OFERT</w:t>
            </w:r>
          </w:p>
          <w:p w:rsidR="006B6B44" w:rsidRDefault="006B6B44" w:rsidP="006B6B44">
            <w:pPr>
              <w:tabs>
                <w:tab w:val="left" w:pos="-12"/>
              </w:tabs>
              <w:spacing w:after="0" w:line="240" w:lineRule="auto"/>
              <w:ind w:lef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ense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IVA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total 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màxim</w:t>
            </w:r>
          </w:p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sense IVA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total 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OFERT</w:t>
            </w:r>
          </w:p>
          <w:p w:rsid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sense IVA</w:t>
            </w: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 xml:space="preserve">Taula de reconeixement d’acer inoxidable AISI 304 (18/10), amb superfície anti-sorolls. Superfície 112x55 cm. Alçada 85 cm. Capacitat 200 kg. Potes ajustables per regulador. 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489,00 €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489,00 €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Tamburet alt amb respatlle rentapissat en polipell sintètic de color negre, regulable en alçada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111,59 €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111,59 €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Làmpada consulta led braç flexo rodable 35.000 lux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561,91 €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561,91 €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Anclatge extensió de làmpada quiròfan a sostre 6-20 cm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120,00 €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120,00 €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Mòdul: Pica 2 portes de fusta blanca 80x60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247,03 €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247,03 €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Mòdul: Baix 2 portes de fusta blanca 80 cm alt x 60 cm ample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282,47 €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282,47 €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Mòdul: Baix 4 calaixos de fusta blanca 80 cm alt x 60 cm ample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857,71 €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1.715,42 €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lastRenderedPageBreak/>
              <w:t>Taulell de 340 cm de llarg x 62 cm d’ample, ambsòcol de 7 cm d’alçada, tot en color blanc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289,55 €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289,55 €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Palanca d’obertura llarga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Rentamans inoxidable sota taulell 40x40x20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Mòdul: Superior 1 porta de fusta blanca 70 cm alt x 40 cm ample x 35 cm fons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143,01 €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143,01 €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Mòdul: Superior 2 portes de fusta blanca 70 cm alt x 60 cm ample x 35 cm fons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185,48 €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185,48 €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accessori suport/base fixa SILVER INOX per a dos columnes 160x55 cm alçada 20 cm  Tipus POPA SUITE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245,00 €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245,00 €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mòdul una porta + porta policarbonat SENSE divisió alt 62 x fons 55 amplada 80 cm. Tipus POPA SUITE BASIC SILVER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640,00 €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2.560,00 €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Mòdul UNA porta + porta policarbonat, alt 62 x fons x 55 x amplada 80 cm. Tipus POPA SUITE SILVER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875,00 €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1.750,00 €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Tipus POPA SUITE accessori degotador + tija porta sèrum graduable alçada, articulada, capacitat per a 2 bombes de d’infusió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199,00 €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398,00 €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Moble baix 60 cm ample armari 2 portes en acer inoxidable (illa)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345,70 €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345,70€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Moble baix 60 cm ample 4 calaixos en acer inox + acer galvanitzat (paret)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796,23 €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796,23 €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Taulell INOX de 120 cm de llarg x 62 cm de fons amb sòcol a 2 costats de 7 cm d’alçada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449,26 €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449,26 €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Aixeta monocomandament clínic prestatge, broc alt i palanca d’obertura curta.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Rentamans inoxidable sota taulell 40x40x20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Làmpada quiròfan LED sostre 100.000 lux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17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2.704,11 €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2.704,11 €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 xml:space="preserve">Taula cirurgia hidràulica d’inox AISI 304 i 430, superfície en llibre amb rodes. Mides 140x54 cm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17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2.515,00 €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2.515,00 €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Carro auxiliar, 162 alçada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695,00 €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695,00 €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Taula instrumental desmuntable (alçada regulable de 93 a 130 cm), safata de 37 × 55 cm, amb rodes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249,00 €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249,00 €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Moble baix 60 cm ample armari 2 portes en acer inoxidable (illa)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345,70 €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691,40 €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Moble baix 80 cm ample 4 calaixos en acer inox + acer galvanitzat (paret)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662,83 €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662,83 €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Moble baix 60 cm ample 5 calaixos en acer inox + acer galvanitzat (paret)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947,38 €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947,38 €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Moble baix 40 cm ample armari 1 porta dreta en acer inox + acer galvanitzat (paret)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237,50 €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237,50 €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Taulell INOX de 300 cm de llarg x 62 cm de fons, amb sòcol en 3 costats de 7 cm d’alçada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829,40 €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829,40 €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lastRenderedPageBreak/>
              <w:t>Palanca d’obertura llarga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Rentamans inoxidable sota taulell 40x40x20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Gàbia hospitalització doble inox 1830x720x910 cm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17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1.981,20 €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1.981,20 €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Gàbia hospitalització doble inox 1220x720x600 cm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17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1.407,45 €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1.407,45 €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 xml:space="preserve">Gàbia hospitalització simple inox 610x720x600 cm 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920,40 €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920,40 €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6B6B44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P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Base rodable per a gàbia doble inox 1830x720x190 cm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553,20 €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553,20 €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6B44" w:rsidRPr="006B6B44" w:rsidTr="00FE4BFF">
        <w:trPr>
          <w:trHeight w:val="300"/>
          <w:jc w:val="center"/>
        </w:trPr>
        <w:tc>
          <w:tcPr>
            <w:tcW w:w="341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6B6B44" w:rsidRDefault="006B6B44" w:rsidP="006B6B44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 w:rsidRPr="00E034BD"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*Muntatge, ma d'obra</w:t>
            </w:r>
          </w:p>
          <w:p w:rsidR="00E034BD" w:rsidRPr="00E034BD" w:rsidRDefault="00E034BD" w:rsidP="00E034BD">
            <w:pPr>
              <w:tabs>
                <w:tab w:val="left" w:pos="1260"/>
              </w:tabs>
              <w:spacing w:after="0" w:line="240" w:lineRule="auto"/>
              <w:ind w:left="90" w:right="-63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(NO susceptible de baixa)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E034BD" w:rsidRDefault="006B6B44" w:rsidP="006B6B44">
            <w:pPr>
              <w:spacing w:after="0" w:line="240" w:lineRule="auto"/>
              <w:jc w:val="center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 w:rsidRPr="00E034BD"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B44" w:rsidRPr="00E034BD" w:rsidRDefault="006B6B44" w:rsidP="006B6B44">
            <w:pPr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 w:rsidRPr="00E034BD"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1.500 €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B6B44" w:rsidRPr="00E034BD" w:rsidRDefault="006B6B44" w:rsidP="00F72C38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 w:rsidRPr="00E034BD"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1.500 €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B6B44" w:rsidRPr="00E034BD" w:rsidRDefault="006B6B44" w:rsidP="006B6B44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 w:rsidRPr="00E034BD"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1.500 €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B6B44" w:rsidRPr="00E034BD" w:rsidRDefault="006B6B44" w:rsidP="00F72C38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  <w:r w:rsidRPr="00E034BD"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  <w:t>1.500 €</w:t>
            </w:r>
          </w:p>
        </w:tc>
      </w:tr>
      <w:tr w:rsidR="006B6B44" w:rsidRPr="006B6B44" w:rsidTr="008A2A99">
        <w:trPr>
          <w:trHeight w:val="300"/>
          <w:jc w:val="center"/>
        </w:trPr>
        <w:tc>
          <w:tcPr>
            <w:tcW w:w="687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8F8"/>
            <w:vAlign w:val="bottom"/>
          </w:tcPr>
          <w:p w:rsidR="006B6B44" w:rsidRPr="00A06F52" w:rsidRDefault="006B6B44" w:rsidP="006B6B44">
            <w:pPr>
              <w:tabs>
                <w:tab w:val="left" w:pos="0"/>
                <w:tab w:val="left" w:pos="1260"/>
              </w:tabs>
              <w:spacing w:after="0" w:line="240" w:lineRule="auto"/>
              <w:ind w:left="90" w:right="90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6F52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 SENSE IVA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8F8"/>
            <w:vAlign w:val="center"/>
          </w:tcPr>
          <w:p w:rsidR="006B6B44" w:rsidRPr="00E034BD" w:rsidRDefault="006B6B44" w:rsidP="00E034BD">
            <w:pPr>
              <w:tabs>
                <w:tab w:val="left" w:pos="0"/>
                <w:tab w:val="left" w:pos="1260"/>
              </w:tabs>
              <w:spacing w:after="0" w:line="240" w:lineRule="auto"/>
              <w:jc w:val="right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27.063,52 €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B6B44" w:rsidRPr="006B6B44" w:rsidRDefault="006B6B44" w:rsidP="006B6B44">
            <w:pPr>
              <w:tabs>
                <w:tab w:val="left" w:pos="0"/>
                <w:tab w:val="left" w:pos="126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034BD" w:rsidRPr="006B6B44" w:rsidTr="008A2A99">
        <w:trPr>
          <w:trHeight w:val="300"/>
          <w:jc w:val="center"/>
        </w:trPr>
        <w:tc>
          <w:tcPr>
            <w:tcW w:w="687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8F8"/>
            <w:vAlign w:val="bottom"/>
          </w:tcPr>
          <w:p w:rsidR="00E034BD" w:rsidRPr="00A06F52" w:rsidRDefault="00E034BD" w:rsidP="006B6B44">
            <w:pPr>
              <w:tabs>
                <w:tab w:val="left" w:pos="0"/>
                <w:tab w:val="left" w:pos="1260"/>
              </w:tabs>
              <w:spacing w:after="0" w:line="240" w:lineRule="auto"/>
              <w:ind w:left="90" w:right="9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A06F52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TOTAL SENSE IVA (SENSE INCLOURE 1.500 € DE MUNTATGE)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8F8"/>
            <w:vAlign w:val="center"/>
          </w:tcPr>
          <w:p w:rsidR="00E034BD" w:rsidRPr="00E034BD" w:rsidRDefault="00E034BD" w:rsidP="006B6B44">
            <w:pPr>
              <w:tabs>
                <w:tab w:val="left" w:pos="0"/>
                <w:tab w:val="left" w:pos="1260"/>
              </w:tabs>
              <w:spacing w:after="0" w:line="240" w:lineRule="auto"/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E034BD">
              <w:rPr>
                <w:rFonts w:ascii="Arial" w:eastAsia="Arial" w:hAnsi="Arial" w:cs="Arial"/>
                <w:b/>
                <w:sz w:val="18"/>
                <w:szCs w:val="18"/>
              </w:rPr>
              <w:t>25.563,52 €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E034BD" w:rsidRPr="006B6B44" w:rsidRDefault="00E034BD" w:rsidP="006B6B44">
            <w:pPr>
              <w:tabs>
                <w:tab w:val="left" w:pos="0"/>
                <w:tab w:val="left" w:pos="126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F947EF" w:rsidRDefault="00F947EF" w:rsidP="006B6B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6B44" w:rsidRDefault="006B6B44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62E9" w:rsidRDefault="001F62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9672E" w:rsidRDefault="00A9672E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672E" w:rsidRDefault="00A9672E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672E" w:rsidRPr="00B24A0C" w:rsidRDefault="00A9672E" w:rsidP="00A9672E">
      <w:pPr>
        <w:pStyle w:val="Textoindependiente"/>
        <w:spacing w:after="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Pr="009C6681">
        <w:rPr>
          <w:rFonts w:ascii="Arial" w:eastAsia="Times New Roman" w:hAnsi="Arial" w:cs="Arial"/>
          <w:sz w:val="20"/>
        </w:rPr>
        <w:t>Que</w:t>
      </w:r>
      <w:r>
        <w:rPr>
          <w:rFonts w:ascii="Arial" w:hAnsi="Arial" w:cs="Arial"/>
          <w:sz w:val="20"/>
        </w:rPr>
        <w:t xml:space="preserve">, per al </w:t>
      </w:r>
      <w:r w:rsidRPr="001F62E9">
        <w:rPr>
          <w:rFonts w:ascii="Arial" w:hAnsi="Arial" w:cs="Arial"/>
          <w:b/>
          <w:sz w:val="20"/>
          <w:u w:val="single"/>
        </w:rPr>
        <w:t>Lot 2</w:t>
      </w:r>
      <w:r>
        <w:rPr>
          <w:rFonts w:ascii="Arial" w:hAnsi="Arial" w:cs="Arial"/>
          <w:sz w:val="20"/>
        </w:rPr>
        <w:t xml:space="preserve"> (Subministrament d’instrumental veterinari),</w:t>
      </w:r>
      <w:r w:rsidRPr="009C6681">
        <w:rPr>
          <w:rFonts w:ascii="Arial" w:eastAsia="Times New Roman" w:hAnsi="Arial" w:cs="Arial"/>
          <w:sz w:val="20"/>
        </w:rPr>
        <w:t xml:space="preserve"> ofereixo executar el contracte per un preu </w:t>
      </w:r>
      <w:r>
        <w:rPr>
          <w:rFonts w:ascii="Arial" w:hAnsi="Arial" w:cs="Arial"/>
          <w:sz w:val="20"/>
        </w:rPr>
        <w:t>total</w:t>
      </w:r>
      <w:r w:rsidRPr="009C6681">
        <w:rPr>
          <w:rFonts w:ascii="Arial" w:eastAsia="Times New Roman" w:hAnsi="Arial" w:cs="Arial"/>
          <w:sz w:val="20"/>
        </w:rPr>
        <w:t xml:space="preserve"> de </w:t>
      </w:r>
      <w:r w:rsidRPr="009C6681">
        <w:rPr>
          <w:rFonts w:ascii="Arial" w:eastAsia="Times New Roman" w:hAnsi="Arial" w:cs="Arial"/>
          <w:color w:val="808080"/>
          <w:sz w:val="20"/>
        </w:rPr>
        <w:t>(</w:t>
      </w:r>
      <w:r w:rsidRPr="009C6681">
        <w:rPr>
          <w:rFonts w:ascii="Arial" w:eastAsia="Times New Roman" w:hAnsi="Arial" w:cs="Arial"/>
          <w:i/>
          <w:color w:val="808080"/>
          <w:sz w:val="20"/>
        </w:rPr>
        <w:t>indicar en números i en lletres</w:t>
      </w:r>
      <w:r w:rsidRPr="009C6681">
        <w:rPr>
          <w:rFonts w:ascii="Arial" w:eastAsia="Times New Roman" w:hAnsi="Arial" w:cs="Arial"/>
          <w:color w:val="808080"/>
          <w:sz w:val="20"/>
        </w:rPr>
        <w:t>)</w:t>
      </w:r>
      <w:r w:rsidRPr="009C6681">
        <w:rPr>
          <w:rFonts w:ascii="Arial" w:eastAsia="Times New Roman" w:hAnsi="Arial" w:cs="Arial"/>
          <w:sz w:val="20"/>
        </w:rPr>
        <w:t xml:space="preserve"> </w:t>
      </w:r>
      <w:r w:rsidRPr="009C6681">
        <w:rPr>
          <w:rFonts w:ascii="Arial" w:eastAsia="Times New Roman" w:hAnsi="Arial" w:cs="Arial"/>
          <w:b/>
          <w:sz w:val="20"/>
        </w:rPr>
        <w:t>...............................</w:t>
      </w:r>
      <w:r>
        <w:rPr>
          <w:rFonts w:ascii="Arial" w:hAnsi="Arial" w:cs="Arial"/>
          <w:b/>
          <w:sz w:val="20"/>
        </w:rPr>
        <w:t>...</w:t>
      </w:r>
      <w:r w:rsidRPr="009C6681">
        <w:rPr>
          <w:rFonts w:ascii="Arial" w:eastAsia="Times New Roman" w:hAnsi="Arial" w:cs="Arial"/>
          <w:b/>
          <w:sz w:val="20"/>
        </w:rPr>
        <w:t>........................................ € IVA NO inclòs</w:t>
      </w:r>
      <w:r w:rsidRPr="009C6681">
        <w:rPr>
          <w:rFonts w:ascii="Arial" w:eastAsia="Times New Roman" w:hAnsi="Arial" w:cs="Arial"/>
          <w:sz w:val="20"/>
        </w:rPr>
        <w:t xml:space="preserve">, amb el següent desglossament dels preus unitaris, IVA no inclòs, per a cada </w:t>
      </w:r>
      <w:r>
        <w:rPr>
          <w:rFonts w:ascii="Arial" w:hAnsi="Arial" w:cs="Arial"/>
          <w:sz w:val="20"/>
        </w:rPr>
        <w:t>producte:</w:t>
      </w:r>
      <w:r>
        <w:rPr>
          <w:rFonts w:ascii="Arial" w:eastAsia="Times New Roman" w:hAnsi="Arial" w:cs="Arial"/>
          <w:sz w:val="20"/>
        </w:rPr>
        <w:t xml:space="preserve"> </w:t>
      </w:r>
      <w:r w:rsidRPr="00A9672E">
        <w:rPr>
          <w:rFonts w:ascii="Arial" w:eastAsia="Times New Roman" w:hAnsi="Arial" w:cs="Arial"/>
          <w:color w:val="808080"/>
          <w:sz w:val="20"/>
        </w:rPr>
        <w:t>(</w:t>
      </w:r>
      <w:r w:rsidRPr="00A9672E">
        <w:rPr>
          <w:rFonts w:ascii="Arial" w:eastAsia="Times New Roman" w:hAnsi="Arial" w:cs="Arial"/>
          <w:i/>
          <w:color w:val="808080"/>
          <w:sz w:val="20"/>
        </w:rPr>
        <w:t>EMPLENEU ELS REQUADRES EN GRIS</w:t>
      </w:r>
      <w:r w:rsidRPr="00A9672E">
        <w:rPr>
          <w:rFonts w:ascii="Arial" w:eastAsia="Times New Roman" w:hAnsi="Arial" w:cs="Arial"/>
          <w:color w:val="808080"/>
          <w:sz w:val="20"/>
        </w:rPr>
        <w:t>)</w:t>
      </w:r>
      <w:r w:rsidRPr="00A9672E">
        <w:rPr>
          <w:rFonts w:ascii="Arial" w:hAnsi="Arial" w:cs="Arial"/>
          <w:color w:val="808080" w:themeColor="background1" w:themeShade="80"/>
          <w:sz w:val="20"/>
        </w:rPr>
        <w:t>;</w:t>
      </w:r>
      <w:r w:rsidRPr="00A9672E">
        <w:rPr>
          <w:rFonts w:ascii="Arial" w:eastAsia="Times New Roman" w:hAnsi="Arial" w:cs="Arial"/>
          <w:color w:val="808080"/>
          <w:sz w:val="20"/>
        </w:rPr>
        <w:t xml:space="preserve">  (</w:t>
      </w:r>
      <w:r w:rsidRPr="00A9672E">
        <w:rPr>
          <w:rFonts w:ascii="Arial" w:eastAsia="Times New Roman" w:hAnsi="Arial" w:cs="Arial"/>
          <w:i/>
          <w:color w:val="808080"/>
          <w:sz w:val="20"/>
        </w:rPr>
        <w:t xml:space="preserve">Els preus unitaris oferts no podran superar els </w:t>
      </w:r>
      <w:r w:rsidRPr="00A9672E">
        <w:rPr>
          <w:rFonts w:ascii="Arial" w:hAnsi="Arial" w:cs="Arial"/>
          <w:i/>
          <w:color w:val="808080" w:themeColor="background1" w:themeShade="80"/>
          <w:sz w:val="20"/>
        </w:rPr>
        <w:t>preus unitaris màxims. El preu total ofert</w:t>
      </w:r>
      <w:r w:rsidRPr="00A9672E">
        <w:rPr>
          <w:rFonts w:ascii="Arial" w:eastAsia="Times New Roman" w:hAnsi="Arial" w:cs="Arial"/>
          <w:i/>
          <w:color w:val="808080"/>
          <w:sz w:val="20"/>
        </w:rPr>
        <w:t xml:space="preserve"> </w:t>
      </w:r>
      <w:r w:rsidRPr="00A9672E">
        <w:rPr>
          <w:rFonts w:ascii="Arial" w:hAnsi="Arial" w:cs="Arial"/>
          <w:i/>
          <w:color w:val="808080" w:themeColor="background1" w:themeShade="80"/>
          <w:sz w:val="20"/>
        </w:rPr>
        <w:t xml:space="preserve">per al Lot 2 </w:t>
      </w:r>
      <w:r w:rsidRPr="00A9672E">
        <w:rPr>
          <w:rFonts w:ascii="Arial" w:eastAsia="Times New Roman" w:hAnsi="Arial" w:cs="Arial"/>
          <w:i/>
          <w:color w:val="808080"/>
          <w:sz w:val="20"/>
        </w:rPr>
        <w:t xml:space="preserve">no podrà superar </w:t>
      </w:r>
      <w:r w:rsidRPr="00A9672E">
        <w:rPr>
          <w:rFonts w:ascii="Arial" w:hAnsi="Arial" w:cs="Arial"/>
          <w:i/>
          <w:color w:val="808080" w:themeColor="background1" w:themeShade="80"/>
          <w:sz w:val="20"/>
        </w:rPr>
        <w:t>l’import de 19.496,34 €, IVA no inclòs).</w:t>
      </w:r>
    </w:p>
    <w:p w:rsidR="00A9672E" w:rsidRDefault="00A9672E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433" w:type="dxa"/>
        <w:jc w:val="center"/>
        <w:tblInd w:w="-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/>
      </w:tblPr>
      <w:tblGrid>
        <w:gridCol w:w="3371"/>
        <w:gridCol w:w="867"/>
        <w:gridCol w:w="1127"/>
        <w:gridCol w:w="1514"/>
        <w:gridCol w:w="1197"/>
        <w:gridCol w:w="1357"/>
      </w:tblGrid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A9672E" w:rsidRDefault="00A9672E" w:rsidP="00F72C38">
            <w:pPr>
              <w:tabs>
                <w:tab w:val="left" w:pos="126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LOT </w:t>
            </w:r>
            <w:r w:rsidR="00213FFD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213FFD" w:rsidRPr="006B6B44" w:rsidRDefault="00213FFD" w:rsidP="00F72C38">
            <w:pPr>
              <w:tabs>
                <w:tab w:val="left" w:pos="126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Instrumental veterinari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A9672E" w:rsidRPr="006B6B44" w:rsidRDefault="00A9672E" w:rsidP="00F72C38">
            <w:pPr>
              <w:spacing w:after="0" w:line="240" w:lineRule="auto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Unitats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A9672E" w:rsidRPr="006B6B44" w:rsidRDefault="00A9672E" w:rsidP="00F72C38">
            <w:pPr>
              <w:spacing w:after="0" w:line="240" w:lineRule="auto"/>
              <w:ind w:left="-6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 unitari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màxim</w:t>
            </w:r>
          </w:p>
          <w:p w:rsidR="00A9672E" w:rsidRPr="006B6B44" w:rsidRDefault="00A9672E" w:rsidP="00F72C38">
            <w:pPr>
              <w:spacing w:after="0" w:line="240" w:lineRule="auto"/>
              <w:ind w:lef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ense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IVA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</w:tcPr>
          <w:p w:rsidR="00A9672E" w:rsidRPr="006B6B44" w:rsidRDefault="00A9672E" w:rsidP="00F72C38">
            <w:pPr>
              <w:spacing w:after="0" w:line="240" w:lineRule="auto"/>
              <w:ind w:left="-6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 unitari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OFERT</w:t>
            </w:r>
          </w:p>
          <w:p w:rsidR="00A9672E" w:rsidRDefault="00A9672E" w:rsidP="00F72C38">
            <w:pPr>
              <w:tabs>
                <w:tab w:val="left" w:pos="-12"/>
              </w:tabs>
              <w:spacing w:after="0" w:line="240" w:lineRule="auto"/>
              <w:ind w:lef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ense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IVA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  <w:vAlign w:val="center"/>
          </w:tcPr>
          <w:p w:rsidR="00A9672E" w:rsidRPr="006B6B44" w:rsidRDefault="00A9672E" w:rsidP="00F72C38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total </w:t>
            </w: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màxim</w:t>
            </w:r>
          </w:p>
          <w:p w:rsidR="00A9672E" w:rsidRPr="006B6B44" w:rsidRDefault="00A9672E" w:rsidP="00F72C38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sense IVA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4DFEC"/>
          </w:tcPr>
          <w:p w:rsidR="00A9672E" w:rsidRPr="006B6B44" w:rsidRDefault="00A9672E" w:rsidP="00F72C38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Preu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total </w:t>
            </w: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OFERT</w:t>
            </w:r>
          </w:p>
          <w:p w:rsidR="00A9672E" w:rsidRDefault="00A9672E" w:rsidP="00F72C38">
            <w:pPr>
              <w:tabs>
                <w:tab w:val="left" w:pos="0"/>
              </w:tabs>
              <w:spacing w:after="0" w:line="240" w:lineRule="auto"/>
              <w:ind w:left="90" w:right="90"/>
              <w:jc w:val="center"/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6B44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sense IVA</w:t>
            </w: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Centrífuga angular mini digital, 300-50000rpm, capacitat per a 6 tubs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280,00 €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280,00 €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Microscopi binocular. 4X, 10X, 40X, 100X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1.297,00 €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1.297,00 €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Otoscopi / oftalmoscopi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1.123,89 €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1.123,89 €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Especul tancat metàl·lic 57x4mm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54,14 €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54,14 €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Especul tancat metàl·lic 65x6mm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54,14 €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54,14 €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Especul tancat metàl·lic 90x7mm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60,10 €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60,10 €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Estetoscopi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117,69 €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117,69 €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Balança Veterinària 0-150 kg 105x50x5 cm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397,00 €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397,00 €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Especul Sanalon 40mmx3,5mm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10,30 €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10,30 €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Gàbia contenció gats acer plastificat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148,80 €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148,80 €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Esquiladora Veterinaria a bateria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197,00 €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197,00 €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Pinça auricular cocodril 140 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73,90 €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73,90 €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Estetoscopi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117,69 €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235,38 €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Joc laringoscopi LED mànec piles + 5 pales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117,69 €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117,69 €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Resuscitador manual de 1,5 L per a gossos&gt;35 kg, amb connexió antivibració.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Resuscitador manual de 1,5 L per a gossos petits, fins a 30 kg, amb connexió antivibració.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40,00 €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Mascaretes veterinàries de diferents talles: talla 0, 1, 2, 3, 4 i 5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168,70 €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168,70 €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Autoclau veterinari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43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1.818,17 €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1.818,17 €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Màquina d'anestèsia i soflurà: vaporitzador concentració de sortida 0-5% d'isofluorà. Inclou tubs endotraqueals + circuits respiratoris+ filtre de gasos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3.410,97 €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3.410,97 €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Concentrador oxígen 5 Lt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795,00 €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795,00 €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Kit cirurgia teixits tous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802,29 €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802,29 €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Kit esterilització gosses complet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188,06 €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188,06 €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lastRenderedPageBreak/>
              <w:t>Kit esterilització gates complet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206,10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618,30 €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Electrobisturí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1.145 €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1.145,00 €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Set de distensió bucal d’acer, 3 unitats (petita, mitjana i gran)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43,10 €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43,10 €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Esquiladora per a gossos de 2 velocitats, 45 W de potència, motor hiperventilat, velocitat de tall fins a 3.000 rpm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197 €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197,00 €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Matalàs vacuquirúrgic adaptable amb bomba: 1 unitat de 60x40 cm + 1 unitat de 100 x 60 cm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161 €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161,00 €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Suport de gotero amb base en forma d’estrella, acer inoxidable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81,20 €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162,40 €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Netejador dental per ultrasons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43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1.001,02 €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1.001,02 €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Bomba d’infusió peristàltica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695 €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2.085,00 €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Bomba de xeringa perfussor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695 €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695,00 €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Aspirador quirúrgic 1 litre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217,76 €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217,76 €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Escalfador de fluids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310,43 €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310,43 €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Micromotor veterinari amb turbina / contraangle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500 €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500,00 €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Manta tèrmica baix voltatge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80,00 €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Kit elevadors alats 5 unitats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253,21 €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253,21 €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Kit periodontal, 5 unitats:</w:t>
            </w:r>
            <w:r w:rsidRPr="00A06F52">
              <w:rPr>
                <w:rFonts w:ascii="Arial" w:hAnsi="Arial" w:cs="Arial"/>
                <w:sz w:val="18"/>
                <w:szCs w:val="18"/>
              </w:rPr>
              <w:br/>
            </w: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 xml:space="preserve"> Mirall dental + cureta Gracey + cureta universal + descalcificador universal + sonda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234,74 €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234,74 €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Pinces per eliminar sarro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43,10 €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43,10 €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Pedra d’esmolar per a instruments</w:t>
            </w:r>
            <w:r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dentals + oli lubricant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49,21 €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49,21 €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 xml:space="preserve">Pinces extracció dental 125 mm 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43,10 €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43,10 €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Pinces extracció dental fines 125 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41,78 €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41,78 €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A06F52">
        <w:trPr>
          <w:trHeight w:val="300"/>
          <w:jc w:val="center"/>
        </w:trPr>
        <w:tc>
          <w:tcPr>
            <w:tcW w:w="33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06F52" w:rsidRPr="00A06F52" w:rsidRDefault="00A06F52" w:rsidP="00A06F52">
            <w:pPr>
              <w:spacing w:after="0" w:line="240" w:lineRule="auto"/>
              <w:ind w:left="180" w:right="90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Tisores enucleaciósortes 13 cm + Tisores per enucleació, corbada normalment, 13 cm + tisores disecció IRIS aguda corba 11,5 cm + Tisores disecció IRIS aguda rect 11,5 cm + Piça disecció Adson 12 cm s/dents 1,2mm</w:t>
            </w: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left="90" w:right="90"/>
              <w:jc w:val="center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184,97 €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F52" w:rsidRPr="00A06F52" w:rsidRDefault="00A06F52" w:rsidP="00A06F52">
            <w:pPr>
              <w:spacing w:after="0"/>
              <w:ind w:right="61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  <w:r w:rsidRPr="00A06F52"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  <w:t>184,97 €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A06F52" w:rsidRPr="006B6B44" w:rsidRDefault="00A06F52" w:rsidP="00A06F52">
            <w:pPr>
              <w:tabs>
                <w:tab w:val="left" w:pos="0"/>
              </w:tabs>
              <w:spacing w:after="0" w:line="240" w:lineRule="auto"/>
              <w:ind w:left="90" w:right="90"/>
              <w:jc w:val="right"/>
              <w:rPr>
                <w:rFonts w:ascii="Arial" w:eastAsia="Apto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06F52" w:rsidRPr="006B6B44" w:rsidTr="001F62E9">
        <w:trPr>
          <w:trHeight w:val="385"/>
          <w:jc w:val="center"/>
        </w:trPr>
        <w:tc>
          <w:tcPr>
            <w:tcW w:w="687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bottom"/>
          </w:tcPr>
          <w:p w:rsidR="00A06F52" w:rsidRPr="00A06F52" w:rsidRDefault="00A06F52" w:rsidP="00A06F52">
            <w:pPr>
              <w:tabs>
                <w:tab w:val="left" w:pos="0"/>
              </w:tabs>
              <w:spacing w:after="0"/>
              <w:ind w:left="90"/>
              <w:rPr>
                <w:rFonts w:ascii="Arial" w:eastAsia="Aptos" w:hAnsi="Arial" w:cs="Arial"/>
                <w:i/>
                <w:color w:val="000000" w:themeColor="text1"/>
              </w:rPr>
            </w:pPr>
            <w:r w:rsidRPr="00A06F52">
              <w:rPr>
                <w:rFonts w:ascii="Arial" w:eastAsia="Aptos" w:hAnsi="Arial" w:cs="Arial"/>
                <w:b/>
                <w:bCs/>
              </w:rPr>
              <w:t>TOTAL SENSE IVA</w:t>
            </w:r>
          </w:p>
        </w:tc>
        <w:tc>
          <w:tcPr>
            <w:tcW w:w="11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06F52" w:rsidRPr="00A06F52" w:rsidRDefault="00A06F52" w:rsidP="00A06F52">
            <w:pPr>
              <w:tabs>
                <w:tab w:val="left" w:pos="69"/>
              </w:tabs>
              <w:spacing w:after="0" w:line="240" w:lineRule="auto"/>
              <w:ind w:left="-72"/>
              <w:jc w:val="right"/>
              <w:rPr>
                <w:rFonts w:ascii="Arial" w:eastAsia="Aptos" w:hAnsi="Arial" w:cs="Arial"/>
                <w:b/>
                <w:sz w:val="18"/>
                <w:szCs w:val="18"/>
              </w:rPr>
            </w:pPr>
            <w:r w:rsidRPr="00A06F52">
              <w:rPr>
                <w:rFonts w:ascii="Arial" w:hAnsi="Arial" w:cs="Arial"/>
                <w:b/>
                <w:sz w:val="18"/>
                <w:szCs w:val="18"/>
              </w:rPr>
              <w:t>19.496,34 €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06F52" w:rsidRPr="00E034BD" w:rsidRDefault="00A06F52" w:rsidP="00F72C38">
            <w:pPr>
              <w:tabs>
                <w:tab w:val="left" w:pos="0"/>
              </w:tabs>
              <w:spacing w:after="0" w:line="240" w:lineRule="auto"/>
              <w:ind w:left="90"/>
              <w:jc w:val="right"/>
              <w:rPr>
                <w:rFonts w:ascii="Arial" w:eastAsia="Aptos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A9672E" w:rsidRDefault="00A9672E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6B44" w:rsidRDefault="006B6B44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62E9" w:rsidRDefault="001F62E9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62E9" w:rsidRDefault="001F62E9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62E9" w:rsidRDefault="001F62E9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01F6" w:rsidRPr="00A9672E" w:rsidRDefault="00A9672E" w:rsidP="00253071">
      <w:pPr>
        <w:spacing w:after="0"/>
        <w:jc w:val="both"/>
        <w:rPr>
          <w:rFonts w:ascii="Arial" w:hAnsi="Arial" w:cs="Arial"/>
          <w:b/>
          <w:i/>
          <w:iCs/>
          <w:u w:val="single"/>
        </w:rPr>
      </w:pPr>
      <w:r w:rsidRPr="00A9672E">
        <w:rPr>
          <w:rFonts w:ascii="Arial" w:hAnsi="Arial" w:cs="Arial"/>
          <w:b/>
          <w:i/>
          <w:iCs/>
          <w:u w:val="single"/>
        </w:rPr>
        <w:t>(</w:t>
      </w:r>
      <w:r>
        <w:rPr>
          <w:rFonts w:ascii="Arial" w:hAnsi="Arial" w:cs="Arial"/>
          <w:b/>
          <w:i/>
          <w:iCs/>
          <w:u w:val="single"/>
        </w:rPr>
        <w:t xml:space="preserve">LLOC, DATA I </w:t>
      </w:r>
      <w:r w:rsidRPr="00A9672E">
        <w:rPr>
          <w:rFonts w:ascii="Arial" w:hAnsi="Arial" w:cs="Arial"/>
          <w:b/>
          <w:i/>
          <w:iCs/>
          <w:u w:val="single"/>
        </w:rPr>
        <w:t>SIGNATURA ELECTRÒNICA DEL LICITADOR)</w:t>
      </w:r>
    </w:p>
    <w:sectPr w:rsidR="001901F6" w:rsidRPr="00A9672E" w:rsidSect="00EC749C">
      <w:headerReference w:type="default" r:id="rId8"/>
      <w:footerReference w:type="default" r:id="rId9"/>
      <w:pgSz w:w="11906" w:h="16838"/>
      <w:pgMar w:top="2410" w:right="1416" w:bottom="1418" w:left="1560" w:header="708" w:footer="708" w:gutter="0"/>
      <w:pgNumType w:start="1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FF" w:rsidRDefault="00AB3BFF">
      <w:pPr>
        <w:spacing w:after="0" w:line="240" w:lineRule="auto"/>
      </w:pPr>
      <w:r>
        <w:separator/>
      </w:r>
    </w:p>
  </w:endnote>
  <w:endnote w:type="continuationSeparator" w:id="0">
    <w:p w:rsidR="00AB3BFF" w:rsidRDefault="00AB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-BoldTw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842139"/>
      <w:docPartObj>
        <w:docPartGallery w:val="Page Numbers (Bottom of Page)"/>
        <w:docPartUnique/>
      </w:docPartObj>
    </w:sdtPr>
    <w:sdtContent>
      <w:p w:rsidR="00E866C4" w:rsidRDefault="00A27B95">
        <w:pPr>
          <w:pStyle w:val="Piedepgina"/>
          <w:jc w:val="right"/>
        </w:pPr>
        <w:fldSimple w:instr=" PAGE ">
          <w:r w:rsidR="001F62E9">
            <w:rPr>
              <w:noProof/>
            </w:rPr>
            <w:t>3</w:t>
          </w:r>
        </w:fldSimple>
      </w:p>
    </w:sdtContent>
  </w:sdt>
  <w:p w:rsidR="00E866C4" w:rsidRDefault="00E866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FF" w:rsidRDefault="00AB3BFF">
      <w:pPr>
        <w:spacing w:after="0" w:line="240" w:lineRule="auto"/>
      </w:pPr>
      <w:r>
        <w:separator/>
      </w:r>
    </w:p>
  </w:footnote>
  <w:footnote w:type="continuationSeparator" w:id="0">
    <w:p w:rsidR="00AB3BFF" w:rsidRDefault="00AB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C4" w:rsidRDefault="00A27B95">
    <w:pPr>
      <w:pStyle w:val="Encabezado"/>
    </w:pPr>
    <w:r w:rsidRPr="00A27B95">
      <w:rPr>
        <w:noProof/>
      </w:rPr>
      <w:pict>
        <v:line id="Line 2" o:spid="_x0000_s1026" style="position:absolute;z-index:251657728;visibility:visible;mso-position-horizontal-relative:page;mso-position-vertical-relative:page" from="32.55pt,103.8pt" to="571.1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" o:allowincell="f" strokeweight="2.36mm">
          <v:fill o:detectmouseclick="t"/>
          <w10:wrap anchorx="page" anchory="page"/>
        </v:line>
      </w:pict>
    </w:r>
    <w:r w:rsidRPr="00A27B95">
      <w:rPr>
        <w:noProof/>
      </w:rPr>
      <w:pict>
        <v:rect id="Rectángulo 1" o:spid="_x0000_s1027" style="position:absolute;margin-left:32.55pt;margin-top:112.2pt;width:137.7pt;height:21.95pt;z-index:-251657728;visibility:visible;mso-wrap-distance-left:0;mso-wrap-distance-top:.05pt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" o:allowincell="f" filled="f" stroked="f" strokeweight="0">
          <v:textbox inset="0,0,0,0">
            <w:txbxContent>
              <w:p w:rsidR="00E866C4" w:rsidRDefault="00E866C4">
                <w:pPr>
                  <w:pStyle w:val="Logotip"/>
                  <w:rPr>
                    <w:color w:val="000000"/>
                  </w:rPr>
                </w:pPr>
                <w:r>
                  <w:rPr>
                    <w:color w:val="000000"/>
                  </w:rPr>
                  <w:t>Ajuntament de Mataró</w:t>
                </w:r>
              </w:p>
              <w:p w:rsidR="00E866C4" w:rsidRDefault="00E866C4">
                <w:pPr>
                  <w:pStyle w:val="Logotip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  <w:r w:rsidR="00E866C4">
      <w:rPr>
        <w:noProof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430530</wp:posOffset>
          </wp:positionH>
          <wp:positionV relativeFrom="page">
            <wp:posOffset>228600</wp:posOffset>
          </wp:positionV>
          <wp:extent cx="835660" cy="876300"/>
          <wp:effectExtent l="0" t="0" r="0" b="0"/>
          <wp:wrapTopAndBottom/>
          <wp:docPr id="1127086632" name="Imagen 112708663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17EE"/>
    <w:multiLevelType w:val="hybridMultilevel"/>
    <w:tmpl w:val="86F62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5E01"/>
    <w:multiLevelType w:val="multilevel"/>
    <w:tmpl w:val="51F22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F4389A"/>
    <w:multiLevelType w:val="multilevel"/>
    <w:tmpl w:val="7BB40A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9804FB9"/>
    <w:multiLevelType w:val="multilevel"/>
    <w:tmpl w:val="55A4F2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855DA7"/>
    <w:multiLevelType w:val="multilevel"/>
    <w:tmpl w:val="3CFCFC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EC9"/>
    <w:rsid w:val="00084286"/>
    <w:rsid w:val="000B6CF5"/>
    <w:rsid w:val="001240A8"/>
    <w:rsid w:val="00186A74"/>
    <w:rsid w:val="001901F6"/>
    <w:rsid w:val="001938DB"/>
    <w:rsid w:val="001F62E9"/>
    <w:rsid w:val="00213FFD"/>
    <w:rsid w:val="00253071"/>
    <w:rsid w:val="002878B0"/>
    <w:rsid w:val="00295DFD"/>
    <w:rsid w:val="0029637A"/>
    <w:rsid w:val="002C1A28"/>
    <w:rsid w:val="002C7974"/>
    <w:rsid w:val="00320573"/>
    <w:rsid w:val="00346EA6"/>
    <w:rsid w:val="003675FC"/>
    <w:rsid w:val="00387921"/>
    <w:rsid w:val="003C6589"/>
    <w:rsid w:val="003D5596"/>
    <w:rsid w:val="00437A65"/>
    <w:rsid w:val="005408B6"/>
    <w:rsid w:val="005413A6"/>
    <w:rsid w:val="00550589"/>
    <w:rsid w:val="0055542F"/>
    <w:rsid w:val="006171FC"/>
    <w:rsid w:val="006213DD"/>
    <w:rsid w:val="006372FF"/>
    <w:rsid w:val="00637928"/>
    <w:rsid w:val="006801BC"/>
    <w:rsid w:val="006B6B44"/>
    <w:rsid w:val="0076480E"/>
    <w:rsid w:val="00787EC9"/>
    <w:rsid w:val="007F5B8A"/>
    <w:rsid w:val="00804E70"/>
    <w:rsid w:val="00844448"/>
    <w:rsid w:val="0085642C"/>
    <w:rsid w:val="008925B4"/>
    <w:rsid w:val="008A4B03"/>
    <w:rsid w:val="00904C25"/>
    <w:rsid w:val="0092226C"/>
    <w:rsid w:val="009403D6"/>
    <w:rsid w:val="009576F4"/>
    <w:rsid w:val="009B47AF"/>
    <w:rsid w:val="009C4828"/>
    <w:rsid w:val="009F3D4C"/>
    <w:rsid w:val="00A06F52"/>
    <w:rsid w:val="00A07574"/>
    <w:rsid w:val="00A27B95"/>
    <w:rsid w:val="00A550CB"/>
    <w:rsid w:val="00A65362"/>
    <w:rsid w:val="00A9672E"/>
    <w:rsid w:val="00AB3BFF"/>
    <w:rsid w:val="00AC2B90"/>
    <w:rsid w:val="00AE1DF3"/>
    <w:rsid w:val="00B1792F"/>
    <w:rsid w:val="00B53A37"/>
    <w:rsid w:val="00B721EE"/>
    <w:rsid w:val="00B73A5B"/>
    <w:rsid w:val="00B9726B"/>
    <w:rsid w:val="00BA0993"/>
    <w:rsid w:val="00BC6D7F"/>
    <w:rsid w:val="00BE1D94"/>
    <w:rsid w:val="00C03316"/>
    <w:rsid w:val="00CC59CD"/>
    <w:rsid w:val="00CC721E"/>
    <w:rsid w:val="00CD5771"/>
    <w:rsid w:val="00CD59C5"/>
    <w:rsid w:val="00D214F5"/>
    <w:rsid w:val="00E034BD"/>
    <w:rsid w:val="00E07F5D"/>
    <w:rsid w:val="00E339C0"/>
    <w:rsid w:val="00E866C4"/>
    <w:rsid w:val="00EB017E"/>
    <w:rsid w:val="00EC38EF"/>
    <w:rsid w:val="00EC749C"/>
    <w:rsid w:val="00F1384A"/>
    <w:rsid w:val="00F73C19"/>
    <w:rsid w:val="00F947EF"/>
    <w:rsid w:val="00FC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2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6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B0386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386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38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2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326CB6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26CB6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326CB6"/>
  </w:style>
  <w:style w:type="character" w:customStyle="1" w:styleId="Smbolosdenumeracin">
    <w:name w:val="Símbolos de numeración"/>
    <w:qFormat/>
    <w:rsid w:val="008A4B03"/>
  </w:style>
  <w:style w:type="paragraph" w:customStyle="1" w:styleId="Ttulo10">
    <w:name w:val="Título1"/>
    <w:basedOn w:val="Normal"/>
    <w:next w:val="Textoindependiente"/>
    <w:qFormat/>
    <w:rsid w:val="008A4B0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326CB6"/>
    <w:pPr>
      <w:spacing w:after="120"/>
    </w:pPr>
  </w:style>
  <w:style w:type="paragraph" w:styleId="Lista">
    <w:name w:val="List"/>
    <w:basedOn w:val="Normal"/>
    <w:uiPriority w:val="99"/>
    <w:unhideWhenUsed/>
    <w:rsid w:val="00326CB6"/>
    <w:pPr>
      <w:ind w:left="283" w:hanging="283"/>
      <w:contextualSpacing/>
    </w:pPr>
  </w:style>
  <w:style w:type="paragraph" w:styleId="Epgrafe">
    <w:name w:val="caption"/>
    <w:basedOn w:val="Normal"/>
    <w:qFormat/>
    <w:rsid w:val="008A4B0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8A4B03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985264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8A4B03"/>
  </w:style>
  <w:style w:type="paragraph" w:styleId="Encabezado">
    <w:name w:val="header"/>
    <w:basedOn w:val="Normal"/>
    <w:link w:val="EncabezadoCar"/>
    <w:uiPriority w:val="99"/>
    <w:semiHidden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83504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qFormat/>
    <w:rsid w:val="00326CB6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qFormat/>
    <w:rsid w:val="00326CB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CB6"/>
    <w:pPr>
      <w:numPr>
        <w:numId w:val="2"/>
      </w:numPr>
      <w:contextualSpacing/>
    </w:pPr>
  </w:style>
  <w:style w:type="paragraph" w:styleId="Continuarlista">
    <w:name w:val="List Continue"/>
    <w:basedOn w:val="Normal"/>
    <w:uiPriority w:val="99"/>
    <w:unhideWhenUsed/>
    <w:qFormat/>
    <w:rsid w:val="00326CB6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26CB6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326CB6"/>
    <w:pPr>
      <w:spacing w:after="200"/>
      <w:ind w:left="360" w:firstLine="360"/>
    </w:pPr>
  </w:style>
  <w:style w:type="paragraph" w:customStyle="1" w:styleId="Contenidodelmarco">
    <w:name w:val="Contenido del marco"/>
    <w:basedOn w:val="Normal"/>
    <w:qFormat/>
    <w:rsid w:val="008A4B03"/>
  </w:style>
  <w:style w:type="paragraph" w:customStyle="1" w:styleId="Contenidodelatabla">
    <w:name w:val="Contenido de la tabla"/>
    <w:basedOn w:val="Normal"/>
    <w:qFormat/>
    <w:rsid w:val="008A4B03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8A4B03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unhideWhenUsed/>
    <w:rsid w:val="009E5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58510-6C37-4D7D-A288-8791A2CD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1410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Tejero Campos, M. Àngels</dc:creator>
  <cp:lastModifiedBy>Servei de Sistemes d'Informació i Telecomunicacions</cp:lastModifiedBy>
  <cp:revision>47</cp:revision>
  <cp:lastPrinted>2022-06-09T07:00:00Z</cp:lastPrinted>
  <dcterms:created xsi:type="dcterms:W3CDTF">2024-03-22T06:57:00Z</dcterms:created>
  <dcterms:modified xsi:type="dcterms:W3CDTF">2026-02-17T10:42:00Z</dcterms:modified>
  <dc:language>es-ES</dc:language>
</cp:coreProperties>
</file>