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9327" w14:textId="77777777" w:rsidR="00383A51" w:rsidRPr="00D52FC2" w:rsidRDefault="00383A51" w:rsidP="00383A51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0998179"/>
      <w:bookmarkStart w:id="1" w:name="_Hlk215755062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r>
        <w:rPr>
          <w:rFonts w:eastAsia="Calibri" w:cs="Arial"/>
          <w:b/>
          <w:color w:val="000000"/>
          <w:szCs w:val="22"/>
          <w:u w:val="single"/>
        </w:rPr>
        <w:t>. LOT 2</w:t>
      </w:r>
      <w:bookmarkEnd w:id="0"/>
    </w:p>
    <w:p w14:paraId="5FD1EF32" w14:textId="77777777" w:rsidR="00383A51" w:rsidRPr="00D52FC2" w:rsidRDefault="00383A51" w:rsidP="00383A51">
      <w:pPr>
        <w:spacing w:after="0"/>
        <w:rPr>
          <w:rFonts w:eastAsia="Calibri" w:cs="Arial"/>
          <w:color w:val="000000"/>
          <w:szCs w:val="22"/>
        </w:rPr>
      </w:pPr>
    </w:p>
    <w:p w14:paraId="13D23B91" w14:textId="77777777" w:rsidR="00383A51" w:rsidRPr="00D52FC2" w:rsidRDefault="00383A51" w:rsidP="00383A51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 xml:space="preserve">contractació </w:t>
      </w:r>
      <w:r>
        <w:rPr>
          <w:rFonts w:cs="Arial"/>
          <w:bCs/>
          <w:szCs w:val="22"/>
        </w:rPr>
        <w:t xml:space="preserve">del servei de manteniment normatiu, preventiu i correctiu de les instal·lacions de producció d’aigua calenta sanitària i calefacció del equipaments gestionats per </w:t>
      </w:r>
      <w:r w:rsidRPr="00D52FC2">
        <w:rPr>
          <w:rFonts w:cs="Arial"/>
          <w:b/>
          <w:szCs w:val="22"/>
        </w:rPr>
        <w:t>SUMAR, Serveis Públic</w:t>
      </w:r>
      <w:r>
        <w:rPr>
          <w:rFonts w:cs="Arial"/>
          <w:b/>
          <w:szCs w:val="22"/>
        </w:rPr>
        <w:t>s d’Acció Social de Catalunya M</w:t>
      </w:r>
      <w:r w:rsidRPr="00D52FC2">
        <w:rPr>
          <w:rFonts w:cs="Arial"/>
          <w:b/>
          <w:szCs w:val="22"/>
        </w:rPr>
        <w:t xml:space="preserve">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0343DA75" w14:textId="77777777" w:rsidR="00383A51" w:rsidRDefault="00383A51" w:rsidP="00383A51">
      <w:pPr>
        <w:spacing w:after="0"/>
        <w:rPr>
          <w:rFonts w:cs="Arial"/>
          <w:b/>
        </w:rPr>
      </w:pPr>
    </w:p>
    <w:p w14:paraId="5D20777E" w14:textId="77777777" w:rsidR="00383A51" w:rsidRPr="001E47FF" w:rsidRDefault="00383A51" w:rsidP="00383A51">
      <w:pPr>
        <w:spacing w:after="0"/>
        <w:rPr>
          <w:rFonts w:cs="Arial"/>
          <w:b/>
        </w:rPr>
      </w:pPr>
    </w:p>
    <w:p w14:paraId="4195176F" w14:textId="77777777" w:rsidR="00383A51" w:rsidRPr="001E47FF" w:rsidRDefault="00383A51" w:rsidP="00383A51">
      <w:pPr>
        <w:numPr>
          <w:ilvl w:val="0"/>
          <w:numId w:val="3"/>
        </w:numPr>
        <w:spacing w:after="0"/>
      </w:pPr>
      <w:r w:rsidRPr="001E47FF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0FB0D512" w14:textId="77777777" w:rsidR="00383A51" w:rsidRPr="001E47FF" w:rsidRDefault="00383A51" w:rsidP="00383A51">
      <w:pPr>
        <w:spacing w:after="0"/>
        <w:ind w:left="567"/>
        <w:rPr>
          <w:rFonts w:cs="Arial"/>
          <w:b/>
        </w:rPr>
      </w:pPr>
    </w:p>
    <w:p w14:paraId="0DEABB8E" w14:textId="77777777" w:rsidR="00383A51" w:rsidRPr="001E47FF" w:rsidRDefault="00383A51" w:rsidP="00383A51">
      <w:pPr>
        <w:numPr>
          <w:ilvl w:val="0"/>
          <w:numId w:val="3"/>
        </w:numPr>
        <w:spacing w:after="0"/>
      </w:pPr>
      <w:r w:rsidRPr="001E47FF">
        <w:t>Els preus s’indicaran amb dos un màxim de dos decimals, essent excloses les ofertes econòmiques quin percentatge contingui més de dos decimals.</w:t>
      </w:r>
    </w:p>
    <w:p w14:paraId="0129E9EA" w14:textId="77777777" w:rsidR="00383A51" w:rsidRPr="001E47FF" w:rsidRDefault="00383A51" w:rsidP="00383A51">
      <w:pPr>
        <w:spacing w:after="0"/>
        <w:ind w:left="567"/>
      </w:pPr>
    </w:p>
    <w:p w14:paraId="3FFF79BE" w14:textId="77777777" w:rsidR="00383A51" w:rsidRPr="001E47FF" w:rsidRDefault="00383A51" w:rsidP="00383A51">
      <w:pPr>
        <w:numPr>
          <w:ilvl w:val="0"/>
          <w:numId w:val="3"/>
        </w:numPr>
        <w:spacing w:after="0"/>
      </w:pPr>
      <w:r w:rsidRPr="001E47FF">
        <w:t>Cal que les empreses licitadores que es presentin estiguin en condicions de prestar la totalitat dels serveis del lot al que opten.</w:t>
      </w:r>
    </w:p>
    <w:p w14:paraId="46EE4FA8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F72B8F9" w14:textId="77777777" w:rsidR="00383A51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F2EF33D" w14:textId="77777777" w:rsidR="00383A51" w:rsidRPr="0043408A" w:rsidRDefault="00383A51" w:rsidP="00383A51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3408A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màxim de 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37362947" w14:textId="77777777" w:rsidR="00383A51" w:rsidRDefault="00383A51" w:rsidP="00383A51">
      <w:pPr>
        <w:tabs>
          <w:tab w:val="left" w:pos="-360"/>
        </w:tabs>
        <w:spacing w:after="0"/>
        <w:rPr>
          <w:rFonts w:cs="Calibri"/>
        </w:rPr>
      </w:pPr>
    </w:p>
    <w:p w14:paraId="33DA5286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Pressupost de la licitació: </w:t>
      </w:r>
    </w:p>
    <w:p w14:paraId="599CAE54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p w14:paraId="6AD8A993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4"/>
        <w:gridCol w:w="2133"/>
      </w:tblGrid>
      <w:tr w:rsidR="00383A51" w:rsidRPr="00055050" w14:paraId="177922B3" w14:textId="77777777" w:rsidTr="0064553B">
        <w:trPr>
          <w:trHeight w:val="952"/>
        </w:trPr>
        <w:tc>
          <w:tcPr>
            <w:tcW w:w="8436" w:type="dxa"/>
            <w:gridSpan w:val="2"/>
            <w:shd w:val="clear" w:color="auto" w:fill="DF7A00"/>
          </w:tcPr>
          <w:p w14:paraId="14EE5D2C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LOT </w:t>
            </w:r>
            <w:r>
              <w:rPr>
                <w:rFonts w:cs="Calibri"/>
                <w:b/>
                <w:bCs/>
                <w:szCs w:val="22"/>
              </w:rPr>
              <w:t>2</w:t>
            </w:r>
            <w:r w:rsidRPr="00055050">
              <w:rPr>
                <w:rFonts w:cs="Calibri"/>
                <w:b/>
                <w:bCs/>
                <w:szCs w:val="22"/>
              </w:rPr>
              <w:t xml:space="preserve"> SERVEI DE MANTENIMENT NORMATIU, PREVENTIU I CORRECTIU DE LES INSTAL·LACIONS DE PRODUCCIÓ D’AIGUA CALENTA SANITÀRIA I CALEFACCIÓ DE LES RESIDÈNCIES DE </w:t>
            </w:r>
            <w:r>
              <w:rPr>
                <w:rFonts w:cs="Calibri"/>
                <w:b/>
                <w:bCs/>
                <w:szCs w:val="22"/>
              </w:rPr>
              <w:t>LA PROVÍNCIA DE BARCELONA (TONA)</w:t>
            </w:r>
          </w:p>
        </w:tc>
      </w:tr>
      <w:tr w:rsidR="00383A51" w:rsidRPr="00055050" w14:paraId="3B6C586E" w14:textId="77777777" w:rsidTr="0064553B">
        <w:trPr>
          <w:trHeight w:val="304"/>
        </w:trPr>
        <w:tc>
          <w:tcPr>
            <w:tcW w:w="6204" w:type="dxa"/>
          </w:tcPr>
          <w:p w14:paraId="1D34EBF8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preventiu/normatiu</w:t>
            </w:r>
          </w:p>
        </w:tc>
        <w:tc>
          <w:tcPr>
            <w:tcW w:w="2232" w:type="dxa"/>
          </w:tcPr>
          <w:p w14:paraId="124D52C0" w14:textId="29303177" w:rsidR="00383A51" w:rsidRPr="00055050" w:rsidRDefault="000158DD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9.300</w:t>
            </w:r>
            <w:r w:rsidR="00383A51">
              <w:rPr>
                <w:rFonts w:cs="Calibri"/>
                <w:b/>
                <w:bCs/>
                <w:szCs w:val="22"/>
              </w:rPr>
              <w:t>,00€</w:t>
            </w:r>
          </w:p>
        </w:tc>
      </w:tr>
      <w:tr w:rsidR="00383A51" w:rsidRPr="00055050" w14:paraId="59FA851D" w14:textId="77777777" w:rsidTr="0064553B">
        <w:trPr>
          <w:trHeight w:val="281"/>
        </w:trPr>
        <w:tc>
          <w:tcPr>
            <w:tcW w:w="6204" w:type="dxa"/>
          </w:tcPr>
          <w:p w14:paraId="46895525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correctiu/ reactiu</w:t>
            </w:r>
          </w:p>
        </w:tc>
        <w:tc>
          <w:tcPr>
            <w:tcW w:w="2232" w:type="dxa"/>
          </w:tcPr>
          <w:p w14:paraId="1D943679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712,00€</w:t>
            </w:r>
          </w:p>
        </w:tc>
      </w:tr>
      <w:tr w:rsidR="00383A51" w:rsidRPr="00055050" w14:paraId="251724B3" w14:textId="77777777" w:rsidTr="0064553B">
        <w:trPr>
          <w:trHeight w:val="281"/>
        </w:trPr>
        <w:tc>
          <w:tcPr>
            <w:tcW w:w="6204" w:type="dxa"/>
          </w:tcPr>
          <w:p w14:paraId="7AD19C79" w14:textId="77777777" w:rsidR="00383A51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Material per a realitzat el servei de manteniment correctiu*</w:t>
            </w:r>
          </w:p>
        </w:tc>
        <w:tc>
          <w:tcPr>
            <w:tcW w:w="2232" w:type="dxa"/>
          </w:tcPr>
          <w:p w14:paraId="566CC039" w14:textId="77777777" w:rsidR="00383A51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4.000,00€</w:t>
            </w:r>
          </w:p>
        </w:tc>
      </w:tr>
      <w:tr w:rsidR="00383A51" w:rsidRPr="00055050" w14:paraId="5A2AF2BD" w14:textId="77777777" w:rsidTr="0064553B">
        <w:trPr>
          <w:trHeight w:val="281"/>
        </w:trPr>
        <w:tc>
          <w:tcPr>
            <w:tcW w:w="6204" w:type="dxa"/>
          </w:tcPr>
          <w:p w14:paraId="03E7A047" w14:textId="77777777" w:rsidR="00383A51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2232" w:type="dxa"/>
          </w:tcPr>
          <w:p w14:paraId="67FC6E93" w14:textId="0FD7D0AE" w:rsidR="00383A51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1</w:t>
            </w:r>
            <w:r w:rsidR="000158DD">
              <w:rPr>
                <w:rFonts w:cs="Calibri"/>
                <w:b/>
                <w:bCs/>
                <w:szCs w:val="22"/>
              </w:rPr>
              <w:t>4.012</w:t>
            </w:r>
            <w:r>
              <w:rPr>
                <w:rFonts w:cs="Calibri"/>
                <w:b/>
                <w:bCs/>
                <w:szCs w:val="22"/>
              </w:rPr>
              <w:t>,00€</w:t>
            </w:r>
          </w:p>
        </w:tc>
      </w:tr>
    </w:tbl>
    <w:p w14:paraId="3CAF27BC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p w14:paraId="2694206E" w14:textId="77777777" w:rsidR="00383A51" w:rsidRDefault="00383A51" w:rsidP="00383A51">
      <w:pPr>
        <w:tabs>
          <w:tab w:val="left" w:pos="-360"/>
        </w:tabs>
        <w:spacing w:after="0"/>
        <w:rPr>
          <w:rFonts w:cs="Calibri"/>
        </w:rPr>
      </w:pPr>
    </w:p>
    <w:p w14:paraId="1BACDA3B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Oferta realitzada per l’empresa licitadora: </w:t>
      </w:r>
    </w:p>
    <w:p w14:paraId="513CBABC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3"/>
        <w:gridCol w:w="2124"/>
      </w:tblGrid>
      <w:tr w:rsidR="00383A51" w:rsidRPr="00055050" w14:paraId="76D9E5FC" w14:textId="77777777" w:rsidTr="0064553B">
        <w:trPr>
          <w:trHeight w:val="952"/>
        </w:trPr>
        <w:tc>
          <w:tcPr>
            <w:tcW w:w="8436" w:type="dxa"/>
            <w:gridSpan w:val="2"/>
            <w:shd w:val="clear" w:color="auto" w:fill="BFBFBF"/>
          </w:tcPr>
          <w:p w14:paraId="21D4AC12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lastRenderedPageBreak/>
              <w:t xml:space="preserve">LOT </w:t>
            </w:r>
            <w:r>
              <w:rPr>
                <w:rFonts w:cs="Calibri"/>
                <w:b/>
                <w:bCs/>
                <w:szCs w:val="22"/>
              </w:rPr>
              <w:t>2</w:t>
            </w:r>
            <w:r w:rsidRPr="00055050">
              <w:rPr>
                <w:rFonts w:cs="Calibri"/>
                <w:b/>
                <w:bCs/>
                <w:szCs w:val="22"/>
              </w:rPr>
              <w:t xml:space="preserve"> SERVEI DE MANTENIMENT NORMATIU, PREVENTIU I CORRECTIU DE LES INSTAL·LACIONS DE PRODUCCIÓ D’AIGUA CALENTA SANITÀRIA I CALEFACCIÓ DE LES RESIDÈNCIES DE </w:t>
            </w:r>
            <w:r>
              <w:rPr>
                <w:rFonts w:cs="Calibri"/>
                <w:b/>
                <w:bCs/>
                <w:szCs w:val="22"/>
              </w:rPr>
              <w:t>LA PROVÍNCIA DE BARCELONA (TONA)</w:t>
            </w:r>
          </w:p>
        </w:tc>
      </w:tr>
      <w:tr w:rsidR="00383A51" w:rsidRPr="00055050" w14:paraId="091D404D" w14:textId="77777777" w:rsidTr="0064553B">
        <w:trPr>
          <w:trHeight w:val="304"/>
        </w:trPr>
        <w:tc>
          <w:tcPr>
            <w:tcW w:w="6204" w:type="dxa"/>
          </w:tcPr>
          <w:p w14:paraId="2058DE46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preventiu/normatiu</w:t>
            </w:r>
          </w:p>
        </w:tc>
        <w:tc>
          <w:tcPr>
            <w:tcW w:w="2232" w:type="dxa"/>
          </w:tcPr>
          <w:p w14:paraId="0C53E24C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  <w:tr w:rsidR="00383A51" w:rsidRPr="00055050" w14:paraId="6CBDFA30" w14:textId="77777777" w:rsidTr="0064553B">
        <w:trPr>
          <w:trHeight w:val="281"/>
        </w:trPr>
        <w:tc>
          <w:tcPr>
            <w:tcW w:w="6204" w:type="dxa"/>
          </w:tcPr>
          <w:p w14:paraId="42387069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correctiu/ reactiu</w:t>
            </w:r>
          </w:p>
        </w:tc>
        <w:tc>
          <w:tcPr>
            <w:tcW w:w="2232" w:type="dxa"/>
          </w:tcPr>
          <w:p w14:paraId="0A3D4CF5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  <w:tr w:rsidR="00383A51" w14:paraId="6976D27D" w14:textId="77777777" w:rsidTr="0064553B">
        <w:trPr>
          <w:trHeight w:val="281"/>
        </w:trPr>
        <w:tc>
          <w:tcPr>
            <w:tcW w:w="6204" w:type="dxa"/>
          </w:tcPr>
          <w:p w14:paraId="4F340390" w14:textId="77777777" w:rsidR="00383A51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Material per a realitzar el servei de manteniment correctiu*</w:t>
            </w:r>
          </w:p>
        </w:tc>
        <w:tc>
          <w:tcPr>
            <w:tcW w:w="2232" w:type="dxa"/>
          </w:tcPr>
          <w:p w14:paraId="19799C88" w14:textId="77777777" w:rsidR="00383A51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4.000,00€</w:t>
            </w:r>
          </w:p>
        </w:tc>
      </w:tr>
      <w:tr w:rsidR="00383A51" w14:paraId="45832FAA" w14:textId="77777777" w:rsidTr="0064553B">
        <w:trPr>
          <w:trHeight w:val="281"/>
        </w:trPr>
        <w:tc>
          <w:tcPr>
            <w:tcW w:w="6204" w:type="dxa"/>
          </w:tcPr>
          <w:p w14:paraId="0E75F163" w14:textId="77777777" w:rsidR="00383A51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2232" w:type="dxa"/>
          </w:tcPr>
          <w:p w14:paraId="5DBA0CA0" w14:textId="77777777" w:rsidR="00383A51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</w:tbl>
    <w:p w14:paraId="54C868EB" w14:textId="77777777" w:rsidR="00383A51" w:rsidRDefault="00383A51" w:rsidP="00383A51">
      <w:pPr>
        <w:tabs>
          <w:tab w:val="left" w:pos="-360"/>
        </w:tabs>
        <w:spacing w:after="0"/>
        <w:rPr>
          <w:rFonts w:cs="Calibri"/>
        </w:rPr>
      </w:pPr>
    </w:p>
    <w:p w14:paraId="276DE93F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p w14:paraId="3E99E29D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p w14:paraId="30977AE0" w14:textId="77777777" w:rsidR="00383A51" w:rsidRDefault="00383A51" w:rsidP="00383A51">
      <w:r w:rsidRPr="00416400">
        <w:rPr>
          <w:rFonts w:ascii="CG Times" w:eastAsia="Times New Roman" w:hAnsi="CG Times" w:cs="Times New Roman"/>
          <w:kern w:val="0"/>
          <w:sz w:val="24"/>
          <w:szCs w:val="20"/>
          <w:lang w:val="x-none" w:eastAsia="x-none" w:bidi="ar-SA"/>
        </w:rPr>
        <w:t>*</w:t>
      </w:r>
      <w:r>
        <w:t xml:space="preserve"> El material per a realitzar el servei de manteniment preveu una bossa econòmica, un topall màxim i no es pot realitzar oferta per aquest import.  </w:t>
      </w:r>
    </w:p>
    <w:p w14:paraId="3E51B50C" w14:textId="77777777" w:rsidR="00383A51" w:rsidRPr="006050ED" w:rsidRDefault="00383A51" w:rsidP="00383A51">
      <w:r>
        <w:rPr>
          <w:rFonts w:eastAsia="Calibri" w:cs="Calibri"/>
          <w:color w:val="000000"/>
          <w:szCs w:val="22"/>
        </w:rPr>
        <w:t xml:space="preserve">El preu ha de coincidir amb </w:t>
      </w:r>
      <w:r w:rsidRPr="00443AE2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l’Excel on figuren els preus unitaris per cada concepte o servei. </w:t>
      </w:r>
    </w:p>
    <w:p w14:paraId="5F9B66BF" w14:textId="77777777" w:rsidR="00383A51" w:rsidRPr="008275B8" w:rsidRDefault="00383A51" w:rsidP="00383A51">
      <w:pPr>
        <w:spacing w:after="0"/>
        <w:rPr>
          <w:rFonts w:eastAsia="Times New Roman" w:cs="Calibri"/>
          <w:u w:val="single"/>
          <w:lang w:eastAsia="x-none"/>
        </w:rPr>
      </w:pPr>
    </w:p>
    <w:p w14:paraId="67C1A1F9" w14:textId="77777777" w:rsidR="00383A51" w:rsidRPr="008275B8" w:rsidRDefault="00383A51" w:rsidP="00383A51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8275B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Temps de resposta a les incidències inferior a 12 hores</w:t>
      </w:r>
      <w:r w:rsidRPr="008275B8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.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0A6FBF94" w14:textId="77777777" w:rsidR="00383A51" w:rsidRPr="008275B8" w:rsidRDefault="00383A51" w:rsidP="00383A51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C153660" w14:textId="77777777" w:rsidR="00383A51" w:rsidRDefault="00383A51" w:rsidP="00383A51">
      <w:pPr>
        <w:tabs>
          <w:tab w:val="left" w:pos="-360"/>
          <w:tab w:val="num" w:pos="851"/>
        </w:tabs>
        <w:rPr>
          <w:rFonts w:cs="Calibri"/>
        </w:rPr>
      </w:pPr>
      <w:r>
        <w:rPr>
          <w:rFonts w:cs="Calibri"/>
        </w:rPr>
        <w:t xml:space="preserve">           Declaro responsablement que em comprometo: </w:t>
      </w:r>
    </w:p>
    <w:p w14:paraId="54D4081F" w14:textId="77777777" w:rsidR="00383A51" w:rsidRDefault="00383A51" w:rsidP="00383A51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383A51" w14:paraId="2CB3A0EA" w14:textId="77777777" w:rsidTr="0064553B">
        <w:tc>
          <w:tcPr>
            <w:tcW w:w="5592" w:type="dxa"/>
            <w:shd w:val="clear" w:color="auto" w:fill="DF7A00"/>
          </w:tcPr>
          <w:p w14:paraId="654861DB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24DEEB2C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16F0BDF2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383A51" w14:paraId="316876ED" w14:textId="77777777" w:rsidTr="0064553B">
        <w:tc>
          <w:tcPr>
            <w:tcW w:w="5592" w:type="dxa"/>
          </w:tcPr>
          <w:p w14:paraId="02310D19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Reducció del temps de resposta a les incidències igual o inferior a 12 hores.</w:t>
            </w:r>
          </w:p>
        </w:tc>
        <w:tc>
          <w:tcPr>
            <w:tcW w:w="1559" w:type="dxa"/>
          </w:tcPr>
          <w:p w14:paraId="2ED034A0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047FAEFB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  <w:r w:rsidRPr="00055050">
              <w:rPr>
                <w:rFonts w:cs="Calibri"/>
                <w:szCs w:val="22"/>
              </w:rPr>
              <w:t>0 punts</w:t>
            </w:r>
          </w:p>
        </w:tc>
      </w:tr>
    </w:tbl>
    <w:p w14:paraId="0FA72E3A" w14:textId="77777777" w:rsidR="00383A51" w:rsidRDefault="00383A51" w:rsidP="00383A51">
      <w:pPr>
        <w:tabs>
          <w:tab w:val="left" w:pos="-360"/>
          <w:tab w:val="num" w:pos="851"/>
        </w:tabs>
        <w:rPr>
          <w:rFonts w:cs="Calibri"/>
          <w:b/>
          <w:bCs/>
        </w:rPr>
      </w:pPr>
    </w:p>
    <w:p w14:paraId="1BA52F87" w14:textId="77777777" w:rsidR="00383A51" w:rsidRPr="00F17FC4" w:rsidRDefault="00383A51" w:rsidP="00383A51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8275B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Temps de </w:t>
      </w:r>
      <w:r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reposició del material (recanvis)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2B1D1A52" w14:textId="77777777" w:rsidR="00383A51" w:rsidRPr="00F17FC4" w:rsidRDefault="00383A51" w:rsidP="00383A51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1687922F" w14:textId="77777777" w:rsidR="00383A51" w:rsidRDefault="00383A51" w:rsidP="00383A51">
      <w:pPr>
        <w:tabs>
          <w:tab w:val="left" w:pos="426"/>
        </w:tabs>
        <w:spacing w:after="0"/>
        <w:ind w:left="357"/>
        <w:rPr>
          <w:rFonts w:cs="Calibri"/>
        </w:rPr>
      </w:pPr>
      <w:r>
        <w:rPr>
          <w:rFonts w:cs="Calibri"/>
        </w:rPr>
        <w:t xml:space="preserve">Declaro </w:t>
      </w:r>
      <w:r w:rsidRPr="00D37EF0">
        <w:rPr>
          <w:rFonts w:cs="Calibri"/>
        </w:rPr>
        <w:t xml:space="preserve">responsablement que em comprometo: </w:t>
      </w:r>
    </w:p>
    <w:p w14:paraId="69FFD91B" w14:textId="77777777" w:rsidR="00383A51" w:rsidRDefault="00383A51" w:rsidP="00383A51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383A51" w14:paraId="5CD1B16F" w14:textId="77777777" w:rsidTr="0064553B">
        <w:tc>
          <w:tcPr>
            <w:tcW w:w="5592" w:type="dxa"/>
            <w:shd w:val="clear" w:color="auto" w:fill="DF7A00"/>
          </w:tcPr>
          <w:p w14:paraId="1738DE51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7BB5866A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7DF28B29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383A51" w14:paraId="474365FE" w14:textId="77777777" w:rsidTr="0064553B">
        <w:trPr>
          <w:cantSplit/>
        </w:trPr>
        <w:tc>
          <w:tcPr>
            <w:tcW w:w="5592" w:type="dxa"/>
          </w:tcPr>
          <w:p w14:paraId="7390CDCE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Reducció del temps de reposició i entrega de material i recanvis igual o inferior a 48 hores. </w:t>
            </w:r>
          </w:p>
        </w:tc>
        <w:tc>
          <w:tcPr>
            <w:tcW w:w="1559" w:type="dxa"/>
          </w:tcPr>
          <w:p w14:paraId="153459EA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146A2613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20 punts</w:t>
            </w:r>
          </w:p>
        </w:tc>
      </w:tr>
    </w:tbl>
    <w:p w14:paraId="7FAC98DC" w14:textId="77777777" w:rsidR="00383A51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B713D17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24156EC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FB08514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1EE5F4E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0CB03BC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275B1951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CE6FFFB" w14:textId="77777777" w:rsidR="00383A51" w:rsidRDefault="00383A51" w:rsidP="00383A51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4F72BED" w14:textId="77777777" w:rsidR="00383A51" w:rsidRDefault="00383A51" w:rsidP="00383A51">
      <w:pPr>
        <w:spacing w:after="0"/>
        <w:rPr>
          <w:rFonts w:cs="Calibri"/>
          <w:szCs w:val="22"/>
        </w:rPr>
      </w:pPr>
    </w:p>
    <w:p w14:paraId="495D2B18" w14:textId="77777777" w:rsidR="00383A51" w:rsidRDefault="00383A51" w:rsidP="00383A51">
      <w:pPr>
        <w:spacing w:after="0"/>
        <w:rPr>
          <w:rFonts w:cs="Calibri"/>
          <w:szCs w:val="22"/>
        </w:rPr>
      </w:pPr>
    </w:p>
    <w:p w14:paraId="164B0546" w14:textId="77777777" w:rsidR="00383A51" w:rsidRDefault="00383A51" w:rsidP="00383A51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571601D4" w14:textId="77777777" w:rsidR="00383A51" w:rsidRPr="00514361" w:rsidRDefault="00383A51" w:rsidP="00383A51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02511316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7B55EA23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2A0434EF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7E6F74BC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14DE4E2E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2F69F42F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0EC96EC4" w14:textId="77777777" w:rsidR="00383A51" w:rsidRPr="00E241AD" w:rsidRDefault="00383A51" w:rsidP="00383A51">
      <w:pPr>
        <w:spacing w:after="0"/>
        <w:rPr>
          <w:rFonts w:cs="Calibri"/>
          <w:szCs w:val="22"/>
        </w:rPr>
      </w:pPr>
    </w:p>
    <w:bookmarkEnd w:id="1"/>
    <w:p w14:paraId="089070DE" w14:textId="77777777" w:rsidR="00586EF5" w:rsidRDefault="00586EF5" w:rsidP="00586EF5">
      <w:pPr>
        <w:suppressAutoHyphens w:val="0"/>
        <w:autoSpaceDE w:val="0"/>
        <w:autoSpaceDN w:val="0"/>
        <w:adjustRightInd w:val="0"/>
        <w:spacing w:after="120"/>
        <w:rPr>
          <w:rFonts w:eastAsia="Calibri" w:cs="Calibri"/>
          <w:b/>
          <w:color w:val="000000"/>
          <w:szCs w:val="22"/>
          <w:lang w:eastAsia="ca-ES"/>
        </w:rPr>
      </w:pPr>
    </w:p>
    <w:p w14:paraId="3C6FC57C" w14:textId="77777777" w:rsidR="00586EF5" w:rsidRDefault="00586EF5" w:rsidP="00586EF5">
      <w:pPr>
        <w:suppressAutoHyphens w:val="0"/>
        <w:autoSpaceDE w:val="0"/>
        <w:autoSpaceDN w:val="0"/>
        <w:adjustRightInd w:val="0"/>
        <w:spacing w:after="120"/>
        <w:rPr>
          <w:rFonts w:eastAsia="Calibri" w:cs="Calibri"/>
          <w:b/>
          <w:color w:val="000000"/>
          <w:szCs w:val="22"/>
          <w:lang w:eastAsia="ca-ES"/>
        </w:rPr>
      </w:pPr>
    </w:p>
    <w:p w14:paraId="6415E2C6" w14:textId="77777777" w:rsidR="00586EF5" w:rsidRPr="00C534C9" w:rsidRDefault="00586EF5" w:rsidP="00586EF5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73527435" w14:textId="77777777" w:rsidR="007F61CB" w:rsidRDefault="007F61CB"/>
    <w:sectPr w:rsidR="007F61CB" w:rsidSect="006C49F1">
      <w:headerReference w:type="default" r:id="rId9"/>
      <w:footerReference w:type="default" r:id="rId10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429F" w14:textId="77777777" w:rsidR="00951DB8" w:rsidRDefault="00951DB8" w:rsidP="00586EF5">
      <w:pPr>
        <w:spacing w:after="0" w:line="240" w:lineRule="auto"/>
      </w:pPr>
      <w:r>
        <w:separator/>
      </w:r>
    </w:p>
  </w:endnote>
  <w:endnote w:type="continuationSeparator" w:id="0">
    <w:p w14:paraId="02981B7C" w14:textId="77777777" w:rsidR="00951DB8" w:rsidRDefault="00951DB8" w:rsidP="0058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423" w14:textId="11EA066A" w:rsidR="00586EF5" w:rsidRDefault="00586EF5">
    <w:pPr>
      <w:pStyle w:val="Peu"/>
    </w:pPr>
    <w:r>
      <w:t xml:space="preserve">Exp. </w:t>
    </w:r>
    <w:r w:rsidR="000158DD">
      <w:t>7</w:t>
    </w:r>
    <w:r>
      <w:t>9/2026</w:t>
    </w:r>
  </w:p>
  <w:p w14:paraId="26B4BC60" w14:textId="77777777" w:rsidR="00586EF5" w:rsidRDefault="00586E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83B0" w14:textId="77777777" w:rsidR="00951DB8" w:rsidRDefault="00951DB8" w:rsidP="00586EF5">
      <w:pPr>
        <w:spacing w:after="0" w:line="240" w:lineRule="auto"/>
      </w:pPr>
      <w:r>
        <w:separator/>
      </w:r>
    </w:p>
  </w:footnote>
  <w:footnote w:type="continuationSeparator" w:id="0">
    <w:p w14:paraId="64FE3711" w14:textId="77777777" w:rsidR="00951DB8" w:rsidRDefault="00951DB8" w:rsidP="0058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7FE" w14:textId="6101A096" w:rsidR="00586EF5" w:rsidRDefault="00586EF5">
    <w:pPr>
      <w:pStyle w:val="Capalera"/>
    </w:pPr>
    <w:bookmarkStart w:id="2" w:name="_Hlk215657517"/>
    <w:r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68B60A3F" wp14:editId="25EBDB69">
          <wp:simplePos x="0" y="0"/>
          <wp:positionH relativeFrom="column">
            <wp:posOffset>3887470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4309939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18F">
      <w:rPr>
        <w:rFonts w:cs="Calibri"/>
        <w:noProof/>
      </w:rPr>
      <w:drawing>
        <wp:inline distT="0" distB="0" distL="0" distR="0" wp14:anchorId="4AA4BAC6" wp14:editId="2B843C7A">
          <wp:extent cx="1009650" cy="1009650"/>
          <wp:effectExtent l="0" t="0" r="0" b="0"/>
          <wp:docPr id="1919729353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</w:t>
    </w:r>
    <w:bookmarkStart w:id="3" w:name="_Hlk215669430"/>
    <w:r w:rsidRPr="00B6518F">
      <w:rPr>
        <w:rFonts w:cs="Calibri"/>
        <w:noProof/>
        <w:lang w:eastAsia="ca-ES"/>
      </w:rPr>
      <w:drawing>
        <wp:inline distT="0" distB="0" distL="0" distR="0" wp14:anchorId="4E0DAD7D" wp14:editId="4C75D716">
          <wp:extent cx="1009650" cy="1009650"/>
          <wp:effectExtent l="0" t="0" r="0" b="0"/>
          <wp:docPr id="1577261863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t xml:space="preserve"> </w:t>
    </w:r>
    <w:bookmarkStart w:id="4" w:name="_Hlk215657578"/>
    <w:r w:rsidRPr="00B6518F">
      <w:rPr>
        <w:rFonts w:cs="Calibri"/>
        <w:noProof/>
        <w:lang w:eastAsia="ca-ES"/>
      </w:rPr>
      <w:drawing>
        <wp:inline distT="0" distB="0" distL="0" distR="0" wp14:anchorId="6C15715E" wp14:editId="5F324E0B">
          <wp:extent cx="1009650" cy="1009650"/>
          <wp:effectExtent l="0" t="0" r="0" b="0"/>
          <wp:docPr id="73017057" name="Imatge 3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t xml:space="preserve">     </w:t>
    </w:r>
  </w:p>
  <w:p w14:paraId="2E9CE893" w14:textId="77777777" w:rsidR="00586EF5" w:rsidRDefault="00586E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57074548">
    <w:abstractNumId w:val="1"/>
  </w:num>
  <w:num w:numId="2" w16cid:durableId="801580372">
    <w:abstractNumId w:val="0"/>
  </w:num>
  <w:num w:numId="3" w16cid:durableId="1442722202">
    <w:abstractNumId w:val="2"/>
  </w:num>
  <w:num w:numId="4" w16cid:durableId="1439905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C"/>
    <w:rsid w:val="000158DD"/>
    <w:rsid w:val="00051E1F"/>
    <w:rsid w:val="00061147"/>
    <w:rsid w:val="000D46E2"/>
    <w:rsid w:val="00174977"/>
    <w:rsid w:val="00174D30"/>
    <w:rsid w:val="001F31FC"/>
    <w:rsid w:val="001F7D65"/>
    <w:rsid w:val="00255ABB"/>
    <w:rsid w:val="002A0427"/>
    <w:rsid w:val="002A764B"/>
    <w:rsid w:val="002F49C1"/>
    <w:rsid w:val="00302916"/>
    <w:rsid w:val="00315D00"/>
    <w:rsid w:val="00383A51"/>
    <w:rsid w:val="0039731A"/>
    <w:rsid w:val="003F27D0"/>
    <w:rsid w:val="0040045C"/>
    <w:rsid w:val="00461346"/>
    <w:rsid w:val="00481D44"/>
    <w:rsid w:val="00547011"/>
    <w:rsid w:val="00550922"/>
    <w:rsid w:val="00586EF5"/>
    <w:rsid w:val="00627A7C"/>
    <w:rsid w:val="006332A3"/>
    <w:rsid w:val="00644606"/>
    <w:rsid w:val="00676BD6"/>
    <w:rsid w:val="006C41D0"/>
    <w:rsid w:val="006C49F1"/>
    <w:rsid w:val="00707AE0"/>
    <w:rsid w:val="00731AEA"/>
    <w:rsid w:val="007332A6"/>
    <w:rsid w:val="00766915"/>
    <w:rsid w:val="007F61CB"/>
    <w:rsid w:val="0085687E"/>
    <w:rsid w:val="00901514"/>
    <w:rsid w:val="00931126"/>
    <w:rsid w:val="00951DB8"/>
    <w:rsid w:val="00953951"/>
    <w:rsid w:val="00990585"/>
    <w:rsid w:val="00996A06"/>
    <w:rsid w:val="009A15E4"/>
    <w:rsid w:val="009B18A8"/>
    <w:rsid w:val="009C045A"/>
    <w:rsid w:val="009F3055"/>
    <w:rsid w:val="00A4392A"/>
    <w:rsid w:val="00A55879"/>
    <w:rsid w:val="00A832F7"/>
    <w:rsid w:val="00B86601"/>
    <w:rsid w:val="00C56155"/>
    <w:rsid w:val="00C643A5"/>
    <w:rsid w:val="00CA0318"/>
    <w:rsid w:val="00CF0F40"/>
    <w:rsid w:val="00D034BE"/>
    <w:rsid w:val="00D1737E"/>
    <w:rsid w:val="00D2696C"/>
    <w:rsid w:val="00D31042"/>
    <w:rsid w:val="00D43785"/>
    <w:rsid w:val="00DA44B3"/>
    <w:rsid w:val="00E009CC"/>
    <w:rsid w:val="00E176FC"/>
    <w:rsid w:val="00E8589F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B5321"/>
  <w15:chartTrackingRefBased/>
  <w15:docId w15:val="{061746C1-9355-40AB-87D4-58659314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04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04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0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04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045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045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04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04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04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04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045C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4004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045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04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045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045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6EF5"/>
  </w:style>
  <w:style w:type="paragraph" w:styleId="Peu">
    <w:name w:val="footer"/>
    <w:basedOn w:val="Normal"/>
    <w:link w:val="Peu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6EF5"/>
  </w:style>
  <w:style w:type="character" w:styleId="Enlla">
    <w:name w:val="Hyperlink"/>
    <w:uiPriority w:val="99"/>
    <w:rsid w:val="00586EF5"/>
    <w:rPr>
      <w:color w:val="000080"/>
      <w:u w:val="singl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586EF5"/>
  </w:style>
  <w:style w:type="character" w:styleId="Textdelcontenidor">
    <w:name w:val="Placeholder Text"/>
    <w:uiPriority w:val="99"/>
    <w:semiHidden/>
    <w:rsid w:val="00586EF5"/>
    <w:rPr>
      <w:color w:val="808080"/>
    </w:rPr>
  </w:style>
  <w:style w:type="paragraph" w:styleId="Textindependent">
    <w:name w:val="Body Text"/>
    <w:basedOn w:val="Normal"/>
    <w:link w:val="TextindependentCar"/>
    <w:rsid w:val="00383A51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383A51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664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2026-02-03T12:47:00Z</dcterms:created>
  <dcterms:modified xsi:type="dcterms:W3CDTF">2026-02-26T11:24:00Z</dcterms:modified>
</cp:coreProperties>
</file>