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lang w:val="ca-ES" w:eastAsia="zh-CN" w:bidi="hi-IN"/>
        </w:rPr>
        <w:t>en la contractació relativa a l’acord marc per a l’homologació de proveïdors del subministrament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.....................................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Lot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2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vestuari laboral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presentada per .......……...» 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b/>
          <w:bCs/>
          <w:i/>
          <w:i/>
          <w:iCs/>
          <w:color w:val="auto"/>
          <w:sz w:val="22"/>
          <w:szCs w:val="22"/>
          <w:shd w:fill="auto" w:val="clear"/>
          <w:lang w:val="ca-ES" w:eastAsia="zh-CN" w:bidi="hi-IN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i/>
          <w:iCs/>
          <w:color w:val="000000"/>
          <w:sz w:val="22"/>
          <w:szCs w:val="22"/>
          <w:shd w:fill="auto" w:val="clear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shd w:fill="auto" w:val="clear"/>
          <w:lang w:val="ca-ES"/>
        </w:rPr>
        <w:t>a l’acord marc per a l’homologació de proveïdors del subministrament del vestuari i calçat laboral, es compromet a portar-la a terme amb subjecció als Plecs de Prescripcions Tècniques Particulars i de Clàusules Administratives Particulars i presenta la següent oferta:</w:t>
      </w:r>
    </w:p>
    <w:p>
      <w:pPr>
        <w:pStyle w:val="Normal"/>
        <w:pBdr/>
        <w:spacing w:lineRule="auto" w:line="240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B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1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)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Oferta econòmica dels articles estàndard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(fins a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45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>S</w:t>
      </w:r>
      <w:r>
        <w:rPr>
          <w:rFonts w:eastAsia="Helvetica-Bold" w:cs="Arial;Bold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egons preus unitaris ofertats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>(s’ha d’adjuntar obligatòriament l'annex I)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-ItalicMT" w:hAnsi="Arial-ItalicMT"/>
          <w:b/>
          <w:bCs/>
          <w:i/>
          <w:i/>
          <w:sz w:val="20"/>
          <w:szCs w:val="22"/>
          <w:u w:val="none"/>
          <w:shd w:fill="auto" w:val="clear"/>
        </w:rPr>
      </w:pPr>
      <w:r>
        <w:rPr>
          <w:rFonts w:ascii="Arial-ItalicMT" w:hAnsi="Arial-ItalicMT"/>
          <w:b/>
          <w:bCs/>
          <w:i/>
          <w:sz w:val="20"/>
          <w:szCs w:val="22"/>
          <w:u w:val="none"/>
          <w:shd w:fill="auto" w:val="clear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B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)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Baixa lineal sobre els preus dels articles no estàndard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(fins a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10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punts).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S’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oferta una baixa sobre els productes no estàndard de ......% (màxim de 2 decimals).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left"/>
        <w:rPr>
          <w:rFonts w:ascii="Arial" w:hAnsi="Arial" w:eastAsia="Helvetica-Bold" w:cs="Arial;Bold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/>
          <w:bCs/>
          <w:i/>
          <w:i/>
          <w:iCs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* El contracte s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’adjudicara per l’import màxim de licitació, es a dir per un import de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10.314,05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€ (sense IVA) per un període d'execució inicial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d’un any,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des de l’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1 de gener de 2026 o des de la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formalització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del contracte.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** En el cas que el licitador superi algun dels preus unitaris (sense IVA) descrits, la seva proposta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serà exclosa.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*** En el cas que el licitador no aporti un dels preus licitats (preus unitaris estàndards o no 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  <w:shd w:fill="auto" w:val="clear"/>
        </w:rPr>
        <w:t>estàndards) l’oferta serà exclosa.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Capacitat de resposta immediata mitjançant punt d’atenció presencial amb punt de venda o magatzem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(fins a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5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punt d’atenció presencial amb punt de venda o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magatzem: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SI</w:t>
        <w:tab/>
        <w:tab/>
        <w:tab/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NO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En cas que l’empresa marqui ‘NO’ (no disposa de punt d’atenció presencial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amb punt de venda o magatzem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segons la definició del criteri), la puntuació d’aquest apartat serà de 0 punts. En cas que marqui ‘SÍ’, la puntuació es determinarà aplicant la fórmula indicada en funció de la distància declarada.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em w:val="none"/>
          <w:lang w:val="ca-ES" w:eastAsia="zxx" w:bidi="ar-SA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L’empresa haurà d’indicar la situació del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 d’atenció presencial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(establiment o magatzem, amb punt de venda o no) que tingui més proper a Granollers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(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en metres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fins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 la Plaça Porxada 6 de Granollers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. S’entén per punt d’atenció presencial un establiment o magatzem amb atenció al públic (o cita prèvia) que permeti, com a mínim, la recepció de devolucions, gestió de canvis de talla i recollida/entrega de reposicions urgents.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S’haurà d’acreditar aquest punt d’atenció presencial abans de l’adjudicació del contracte. En el moment de presentar oferta, amb una declaració responsable serà suficient.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Abans de l’adjudicació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, caldrà aportar documentació acreditativa de la disponibilitat del punt d’atenció. Si es pretén subcontractar 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 d’atenció presencial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, caldrà un compromís de les dues empreses en el moment de la licitació. El punt d’atenció declarat en l’oferta tindrà caràcter de compromís d’execució i s’haurà de mantenir durant tota la vigència de l’Acord Marc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i mentre hi hagi contractes basats vigents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. Qualsevol canvi requerirà autorització prèvia de l’òrgan de contractació i la substitució per un punt d’atenció de prestacions equivalents.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shd w:fill="auto" w:val="clear"/>
          <w:em w:val="none"/>
          <w:lang w:val="ca-ES" w:eastAsia="zxx" w:bidi="ar-SA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D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Adaptació dels productes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(fins a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5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Style w:val="Fuentedeprrafopredeter"/>
          <w:rFonts w:eastAsia="Helvetica-Bold" w:cs="Arial;Bold"/>
          <w:b/>
          <w:bCs/>
          <w:caps w:val="false"/>
          <w:smallCaps w:val="false"/>
          <w:spacing w:val="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Fonts w:ascii="Arial" w:hAnsi="Arial"/>
          <w:b w:val="false"/>
          <w:bCs w:val="false"/>
          <w:sz w:val="22"/>
          <w:szCs w:val="22"/>
        </w:rPr>
        <w:t xml:space="preserve">menys de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4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Fonts w:ascii="Arial" w:hAnsi="Arial"/>
          <w:b w:val="false"/>
          <w:bCs w:val="false"/>
          <w:sz w:val="22"/>
          <w:szCs w:val="22"/>
        </w:rPr>
        <w:t>0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 punt</w:t>
      </w:r>
    </w:p>
    <w:p>
      <w:pPr>
        <w:pStyle w:val="BodyTex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Compromís d’adaptació per 4 peces/productes: 1 punt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8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2 punts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12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3 punts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16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4 punts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20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 o més: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5 punts</w:t>
      </w:r>
    </w:p>
    <w:p>
      <w:pPr>
        <w:pStyle w:val="BodyText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/>
      </w:pP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Si es presenta un compromís d’adaptació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entre trams</w:t>
      </w: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(p. ex. 6, 10, 14, 18), s’atorgarà la puntuació del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tram inferior</w:t>
      </w: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.</w:t>
      </w:r>
    </w:p>
    <w:p>
      <w:pPr>
        <w:pStyle w:val="BodyText"/>
        <w:pBdr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Mesures ambientals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(fins a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punts)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N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omés es valoraran etiquetes, certificacions, assajos o documentació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referits directament a les mostres obligatòries presentades i/o a les referències exactes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(model 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i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material/c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omposició/teixit) que s’oferten com a objecte del contracte (per lot).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No es valoraran certificats generals de l’empresa, de la marca o de línies de producte diferents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de les peces ofertes.</w:t>
        <w:br/>
        <w:t xml:space="preserve">El mitjà de prova haurà d’identificar com a mínim: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referència del producte / mostra, composició/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material/teixit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, fabricant o subministrador i número de certificat o informe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(o traçabilitat equivalent). </w:t>
      </w:r>
    </w:p>
    <w:p>
      <w:pPr>
        <w:pStyle w:val="Normal"/>
        <w:pBdr/>
        <w:spacing w:lineRule="auto" w:line="276" w:before="57" w:after="0"/>
        <w:jc w:val="both"/>
        <w:rPr>
          <w:b w:val="false"/>
          <w:bCs w:val="false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1)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Etiqueta ecològica de la UE, El Cigne Nòrdic, marca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O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K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O-Tex, Certificació Made in Green o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altres mitjans de prova equivalents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(fins a 1 punt).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Puntuació: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obtindrà la màxima puntuació el licitador que acrediti un major número de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mostres obligatòries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amb etiqueta o certificació vàlida. La resta proporcionalment segons la fórmula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/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durabilitat (fins a 1 punt)</w:t>
      </w:r>
    </w:p>
    <w:p>
      <w:pPr>
        <w:pStyle w:val="Normal"/>
        <w:pBdr/>
        <w:spacing w:lineRule="auto" w:line="276" w:before="57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shd w:fill="auto" w:val="clear"/>
        </w:rPr>
        <w:t>Puntuació: obtindrà la màxima puntuació el licitador que acrediti el major nombre de mostres obligatòries amb informe d’assaig (o mitjà equivalent) que acrediti l’estabilitat dimensional després del rentat i assecat segons la norma indicada. La resta, proporcionalment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 xml:space="preserve">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</w:rPr>
        <w:t xml:space="preserve">segons la fórmula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.3)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cotó ecològic (fins a 1 punt)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eastAsia="Helvetica-Bold" w:cs="Arial"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u w:val="none"/>
          <w:shd w:fill="auto" w:val="clear"/>
          <w:lang w:val="ca-ES"/>
        </w:rPr>
        <w:t>Puntuació:</w:t>
      </w:r>
      <w:r>
        <w:rPr>
          <w:rStyle w:val="Strong"/>
          <w:rFonts w:eastAsia="Helvetica-Bold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obtindrà la màxima puntuació el licitador que acrediti el major nombre de mostres obligatòries que acrediten ≥3% de cotó ecològic. La resta, proporcionalment </w:t>
      </w:r>
      <w:r>
        <w:rPr>
          <w:rFonts w:ascii="Arial" w:hAnsi="Arial"/>
          <w:b w:val="false"/>
          <w:bCs w:val="false"/>
          <w:sz w:val="22"/>
          <w:szCs w:val="22"/>
        </w:rPr>
        <w:t xml:space="preserve">, segons la fórmula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4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fibres o elements reciclats (fins a 1 punt)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Puntuació: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obtindrà la màxima puntuació el licitador que acrediti el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major nombre de mostres obligatòries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que incorporen fibres/elements reciclats i ho acreditin mitjançant la documentació indicada. La resta, proporcionalment</w:t>
      </w:r>
      <w:r>
        <w:rPr>
          <w:rFonts w:ascii="Arial" w:hAnsi="Arial"/>
          <w:b w:val="false"/>
          <w:bCs w:val="false"/>
          <w:sz w:val="22"/>
          <w:szCs w:val="22"/>
        </w:rPr>
        <w:t xml:space="preserve">, segons la fórmula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Embalatges mínims (fins a 1 punt)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Compromís de lliurament del subministrament amb el mínim embalatge possible, fent servir prioritàriament </w:t>
      </w:r>
      <w:r>
        <w:rPr>
          <w:rFonts w:ascii="Arial" w:hAnsi="Arial"/>
          <w:sz w:val="22"/>
          <w:szCs w:val="22"/>
        </w:rPr>
        <w:t>materials reciclats (plàstic o cartró).</w:t>
      </w:r>
    </w:p>
    <w:p>
      <w:pPr>
        <w:pStyle w:val="Normal"/>
        <w:pBdr/>
        <w:spacing w:lineRule="auto" w:line="276" w:before="57" w:after="0"/>
        <w:jc w:val="both"/>
        <w:rPr>
          <w:rFonts w:ascii="Arial-ItalicMT" w:hAnsi="Arial-ItalicMT" w:eastAsia="NSimSun" w:cs="Arial"/>
          <w:b w:val="false"/>
          <w:bCs w:val="false"/>
          <w:i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</w:pP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SI</w:t>
        <w:tab/>
        <w:tab/>
        <w:tab/>
      </w: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NO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Acompanyant el compromís els licitadors hauran de presentar escrit amb les característiques dels embolcalls 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a utilitzar durant l’execució del contracte. En cas de no presentació de la descripció no es valorarà el criteri.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La descripció tindrà una extensió màxima d’una pàgina (arial 11).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Cal recordar que la informació de les etiquetes,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certificacions, assajos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o equivalents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que es valora només s’haurà d’incloure al sobre 3. La inclusió d’aquesta informació al sobre 2 serà motiu d’exclusió.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Helvetica-Bold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26</TotalTime>
  <Application>LibreOffice/24.8.5.2$Windows_X86_64 LibreOffice_project/fddf2685c70b461e7832239a0162a77216259f22</Application>
  <AppVersion>15.0000</AppVersion>
  <Pages>3</Pages>
  <Words>974</Words>
  <Characters>5521</Characters>
  <CharactersWithSpaces>6470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2026-02-26T11:29:25Z</dcterms:modified>
  <cp:revision>30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