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B594" w14:textId="77777777" w:rsidR="00B16BE2" w:rsidRDefault="00B16BE2" w:rsidP="00B16BE2">
      <w:pPr>
        <w:rPr>
          <w:b/>
          <w:bCs/>
          <w:sz w:val="20"/>
          <w:szCs w:val="20"/>
        </w:rPr>
      </w:pPr>
      <w:bookmarkStart w:id="0" w:name="_Hlk161400009"/>
      <w:r>
        <w:rPr>
          <w:b/>
          <w:bCs/>
          <w:sz w:val="20"/>
          <w:szCs w:val="20"/>
        </w:rPr>
        <w:t>ANNEX 5</w:t>
      </w:r>
    </w:p>
    <w:p w14:paraId="5940D15F" w14:textId="77777777" w:rsidR="00B16BE2" w:rsidRDefault="00B16BE2" w:rsidP="00B16BE2">
      <w:pPr>
        <w:rPr>
          <w:rFonts w:eastAsia="Symbol"/>
          <w:b/>
          <w:sz w:val="20"/>
          <w:szCs w:val="20"/>
        </w:rPr>
      </w:pPr>
    </w:p>
    <w:p w14:paraId="26AD04DA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b/>
          <w:sz w:val="20"/>
          <w:szCs w:val="20"/>
        </w:rPr>
        <w:t>DECLARACIÓ RESPONSABLE DE NO PERJUDICI SIGNIFICATIU AL MEDI AMBIENT</w:t>
      </w:r>
    </w:p>
    <w:p w14:paraId="4ECBE65A" w14:textId="77777777" w:rsidR="00B16BE2" w:rsidRDefault="00B16BE2" w:rsidP="00B16BE2">
      <w:pPr>
        <w:spacing w:line="254" w:lineRule="auto"/>
        <w:rPr>
          <w:rFonts w:eastAsia="Calibri" w:cs="Aptos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>Expedient de contractació núm.: 2026/ 492</w:t>
      </w:r>
    </w:p>
    <w:p w14:paraId="7F50E069" w14:textId="77777777" w:rsidR="00B16BE2" w:rsidRDefault="00B16BE2" w:rsidP="00B16BE2">
      <w:pPr>
        <w:spacing w:line="254" w:lineRule="auto"/>
        <w:rPr>
          <w:rFonts w:cs="Aptos"/>
          <w:b/>
          <w:bCs/>
          <w:sz w:val="20"/>
          <w:szCs w:val="20"/>
        </w:rPr>
      </w:pPr>
    </w:p>
    <w:p w14:paraId="5CBE148E" w14:textId="6E734F0E" w:rsidR="00B16BE2" w:rsidRDefault="00B16BE2" w:rsidP="00B16BE2">
      <w:pPr>
        <w:spacing w:line="254" w:lineRule="auto"/>
        <w:rPr>
          <w:rFonts w:cs="Aptos"/>
          <w:sz w:val="20"/>
          <w:szCs w:val="20"/>
          <w:lang w:bidi="ca-ES"/>
        </w:rPr>
      </w:pPr>
      <w:r>
        <w:rPr>
          <w:rFonts w:cs="Aptos"/>
          <w:b/>
          <w:bCs/>
          <w:sz w:val="20"/>
          <w:szCs w:val="20"/>
        </w:rPr>
        <w:t>Contracte:</w:t>
      </w:r>
      <w:r>
        <w:rPr>
          <w:rFonts w:cs="Aptos"/>
          <w:sz w:val="20"/>
          <w:szCs w:val="20"/>
          <w:lang w:bidi="ca-ES"/>
        </w:rPr>
        <w:t xml:space="preserve"> Contracte PER A LA REALITZACIÓ DE LES OBRES DE CONSTRUCCIÓ DE </w:t>
      </w:r>
      <w:r>
        <w:rPr>
          <w:sz w:val="20"/>
          <w:szCs w:val="20"/>
        </w:rPr>
        <w:t>L’ESTANY DE LA VILA DE CASTELLÓ D’EMPÚRIES</w:t>
      </w:r>
      <w:r>
        <w:rPr>
          <w:rFonts w:cs="Aptos"/>
          <w:sz w:val="20"/>
          <w:szCs w:val="20"/>
          <w:lang w:bidi="ca-ES"/>
        </w:rPr>
        <w:t xml:space="preserve">, DINS EL PLA DE RECUPERACIÓ, TRANSFORMACIÓ I </w:t>
      </w:r>
      <w:r w:rsidR="001B6763">
        <w:rPr>
          <w:rFonts w:cs="Aptos"/>
          <w:sz w:val="20"/>
          <w:szCs w:val="20"/>
          <w:lang w:bidi="ca-ES"/>
        </w:rPr>
        <w:t>RESILIÈNCIA</w:t>
      </w:r>
      <w:r>
        <w:rPr>
          <w:rFonts w:cs="Aptos"/>
          <w:sz w:val="20"/>
          <w:szCs w:val="20"/>
          <w:lang w:bidi="ca-ES"/>
        </w:rPr>
        <w:t xml:space="preserve">, FINANÇAT PELS FONS </w:t>
      </w:r>
      <w:proofErr w:type="spellStart"/>
      <w:r>
        <w:rPr>
          <w:rFonts w:cs="Aptos"/>
          <w:sz w:val="20"/>
          <w:szCs w:val="20"/>
          <w:lang w:bidi="ca-ES"/>
        </w:rPr>
        <w:t>NEXT</w:t>
      </w:r>
      <w:proofErr w:type="spellEnd"/>
      <w:r>
        <w:rPr>
          <w:rFonts w:cs="Aptos"/>
          <w:sz w:val="20"/>
          <w:szCs w:val="20"/>
          <w:lang w:bidi="ca-ES"/>
        </w:rPr>
        <w:t xml:space="preserve"> </w:t>
      </w:r>
      <w:proofErr w:type="spellStart"/>
      <w:r>
        <w:rPr>
          <w:rFonts w:cs="Aptos"/>
          <w:sz w:val="20"/>
          <w:szCs w:val="20"/>
          <w:lang w:bidi="ca-ES"/>
        </w:rPr>
        <w:t>GENERATION</w:t>
      </w:r>
      <w:proofErr w:type="spellEnd"/>
      <w:r>
        <w:rPr>
          <w:rFonts w:cs="Aptos"/>
          <w:sz w:val="20"/>
          <w:szCs w:val="20"/>
          <w:lang w:bidi="ca-ES"/>
        </w:rPr>
        <w:t>.</w:t>
      </w:r>
    </w:p>
    <w:p w14:paraId="6D8ACB6A" w14:textId="77777777" w:rsidR="00B16BE2" w:rsidRDefault="00B16BE2" w:rsidP="00B16BE2">
      <w:pPr>
        <w:rPr>
          <w:rFonts w:cs="Aptos"/>
          <w:b/>
          <w:bCs/>
          <w:sz w:val="20"/>
          <w:szCs w:val="20"/>
        </w:rPr>
      </w:pPr>
    </w:p>
    <w:p w14:paraId="18D55EFF" w14:textId="75D45341" w:rsidR="00B16BE2" w:rsidRDefault="00B16BE2" w:rsidP="00B16BE2">
      <w:pPr>
        <w:rPr>
          <w:rFonts w:cs="Arial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 xml:space="preserve">Subvenció: </w:t>
      </w:r>
      <w:r>
        <w:rPr>
          <w:rFonts w:cs="Arial"/>
          <w:sz w:val="20"/>
          <w:szCs w:val="20"/>
        </w:rPr>
        <w:t>Pla de sostenibilitat turística en destins, convocatòria extraordinària 2023.</w:t>
      </w:r>
    </w:p>
    <w:p w14:paraId="36862B30" w14:textId="77777777" w:rsidR="00B16BE2" w:rsidRDefault="00B16BE2" w:rsidP="00B16BE2">
      <w:pPr>
        <w:spacing w:line="254" w:lineRule="auto"/>
        <w:rPr>
          <w:rFonts w:cs="Aptos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 xml:space="preserve"> </w:t>
      </w:r>
    </w:p>
    <w:p w14:paraId="5433B0CB" w14:textId="77777777" w:rsidR="00B16BE2" w:rsidRDefault="00B16BE2" w:rsidP="00B16BE2">
      <w:pPr>
        <w:spacing w:after="129" w:line="256" w:lineRule="auto"/>
        <w:jc w:val="left"/>
        <w:rPr>
          <w:rFonts w:eastAsia="Tw Cen MT" w:cs="Tw Cen MT"/>
          <w:kern w:val="2"/>
          <w:sz w:val="20"/>
          <w:szCs w:val="20"/>
          <w:lang w:eastAsia="es-ES"/>
        </w:rPr>
      </w:pPr>
      <w:proofErr w:type="spellStart"/>
      <w:r>
        <w:rPr>
          <w:rFonts w:eastAsia="Tw Cen MT" w:cs="Tw Cen MT"/>
          <w:kern w:val="2"/>
          <w:sz w:val="20"/>
          <w:szCs w:val="20"/>
          <w:lang w:eastAsia="es-ES"/>
        </w:rPr>
        <w:t>DNSH</w:t>
      </w:r>
      <w:proofErr w:type="spellEnd"/>
      <w:r>
        <w:rPr>
          <w:rFonts w:eastAsia="Tw Cen MT" w:cs="Tw Cen MT"/>
          <w:kern w:val="2"/>
          <w:sz w:val="20"/>
          <w:szCs w:val="20"/>
          <w:lang w:eastAsia="es-ES"/>
        </w:rPr>
        <w:t xml:space="preserve"> (Do </w:t>
      </w:r>
      <w:proofErr w:type="spellStart"/>
      <w:r>
        <w:rPr>
          <w:rFonts w:eastAsia="Tw Cen MT" w:cs="Tw Cen MT"/>
          <w:kern w:val="2"/>
          <w:sz w:val="20"/>
          <w:szCs w:val="20"/>
          <w:lang w:eastAsia="es-ES"/>
        </w:rPr>
        <w:t>Not</w:t>
      </w:r>
      <w:proofErr w:type="spellEnd"/>
      <w:r>
        <w:rPr>
          <w:rFonts w:eastAsia="Tw Cen MT" w:cs="Tw Cen MT"/>
          <w:kern w:val="2"/>
          <w:sz w:val="20"/>
          <w:szCs w:val="20"/>
          <w:lang w:eastAsia="es-ES"/>
        </w:rPr>
        <w:t xml:space="preserve"> Significant </w:t>
      </w:r>
      <w:proofErr w:type="spellStart"/>
      <w:r>
        <w:rPr>
          <w:rFonts w:eastAsia="Tw Cen MT" w:cs="Tw Cen MT"/>
          <w:kern w:val="2"/>
          <w:sz w:val="20"/>
          <w:szCs w:val="20"/>
          <w:lang w:eastAsia="es-ES"/>
        </w:rPr>
        <w:t>Harm</w:t>
      </w:r>
      <w:proofErr w:type="spellEnd"/>
      <w:r>
        <w:rPr>
          <w:rFonts w:eastAsia="Tw Cen MT" w:cs="Tw Cen MT"/>
          <w:kern w:val="2"/>
          <w:sz w:val="20"/>
          <w:szCs w:val="20"/>
          <w:lang w:eastAsia="es-ES"/>
        </w:rPr>
        <w:t xml:space="preserve">) </w:t>
      </w:r>
    </w:p>
    <w:p w14:paraId="5E124C36" w14:textId="77777777" w:rsidR="00B16BE2" w:rsidRDefault="00B16BE2" w:rsidP="00B16BE2">
      <w:pPr>
        <w:spacing w:after="11" w:line="244" w:lineRule="auto"/>
        <w:ind w:left="15" w:right="49" w:hanging="10"/>
        <w:rPr>
          <w:rFonts w:eastAsia="Tw Cen MT" w:cs="Tw Cen MT"/>
          <w:color w:val="000000"/>
          <w:kern w:val="2"/>
          <w:sz w:val="20"/>
          <w:szCs w:val="20"/>
          <w:lang w:val="es-ES" w:eastAsia="es-ES"/>
        </w:rPr>
      </w:pPr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>El projecte compleix amb les obligacions en matèria mediambiental, així com les obligacions assumides en matèria d’etiquetatge verd:</w:t>
      </w:r>
      <w:r>
        <w:rPr>
          <w:rFonts w:eastAsia="Tw Cen MT" w:cs="Tw Cen MT"/>
          <w:color w:val="000000"/>
          <w:kern w:val="2"/>
          <w:sz w:val="20"/>
          <w:szCs w:val="20"/>
          <w:lang w:val="es-ES" w:eastAsia="es-ES"/>
        </w:rPr>
        <w:t xml:space="preserve"> </w:t>
      </w:r>
    </w:p>
    <w:p w14:paraId="7F02A61B" w14:textId="77777777" w:rsidR="00B16BE2" w:rsidRDefault="00B16BE2" w:rsidP="00B16BE2">
      <w:pPr>
        <w:rPr>
          <w:rFonts w:cs="Arial"/>
          <w:b/>
          <w:bCs/>
          <w:sz w:val="20"/>
          <w:szCs w:val="20"/>
          <w:lang w:eastAsia="es-ES"/>
        </w:rPr>
      </w:pPr>
    </w:p>
    <w:tbl>
      <w:tblPr>
        <w:tblW w:w="6968" w:type="dxa"/>
        <w:jc w:val="center"/>
        <w:tblCellMar>
          <w:top w:w="160" w:type="dxa"/>
          <w:right w:w="48" w:type="dxa"/>
        </w:tblCellMar>
        <w:tblLook w:val="04A0" w:firstRow="1" w:lastRow="0" w:firstColumn="1" w:lastColumn="0" w:noHBand="0" w:noVBand="1"/>
      </w:tblPr>
      <w:tblGrid>
        <w:gridCol w:w="3026"/>
        <w:gridCol w:w="3942"/>
      </w:tblGrid>
      <w:tr w:rsidR="00B16BE2" w14:paraId="20425978" w14:textId="77777777">
        <w:trPr>
          <w:trHeight w:val="1392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48A1" w14:textId="77777777" w:rsidR="00B16BE2" w:rsidRDefault="00B16BE2">
            <w:pPr>
              <w:spacing w:line="256" w:lineRule="auto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Política palanca del </w:t>
            </w:r>
            <w:proofErr w:type="spellStart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>PRTR</w:t>
            </w:r>
            <w:proofErr w:type="spellEnd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 al qual pertany l'activitat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14D6" w14:textId="77777777" w:rsidR="00B16BE2" w:rsidRDefault="00B16BE2">
            <w:pPr>
              <w:spacing w:line="256" w:lineRule="auto"/>
              <w:ind w:right="58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5 – Modernització i digitalització del teixit industrial i de la PIME, recuperació del turisme i impuls a una Espanya nació emprenedora </w:t>
            </w:r>
          </w:p>
        </w:tc>
      </w:tr>
      <w:tr w:rsidR="00B16BE2" w14:paraId="4C710204" w14:textId="77777777">
        <w:trPr>
          <w:trHeight w:val="840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F10A9" w14:textId="77777777" w:rsidR="00B16BE2" w:rsidRDefault="00B16BE2">
            <w:pPr>
              <w:spacing w:after="12"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Components del </w:t>
            </w:r>
            <w:proofErr w:type="spellStart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>PRTR</w:t>
            </w:r>
            <w:proofErr w:type="spellEnd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 al que </w:t>
            </w:r>
          </w:p>
          <w:p w14:paraId="3BDEE27C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pertany l'activitat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86A3" w14:textId="77777777" w:rsidR="00B16BE2" w:rsidRDefault="00B16BE2">
            <w:pPr>
              <w:spacing w:line="256" w:lineRule="auto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14 – Pla de Modernització i competitivitat del sector turístic </w:t>
            </w:r>
          </w:p>
        </w:tc>
      </w:tr>
      <w:tr w:rsidR="00B16BE2" w14:paraId="70F127F3" w14:textId="77777777">
        <w:trPr>
          <w:trHeight w:val="843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3563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Mesura (Reforma o Inversió)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D9F3" w14:textId="77777777" w:rsidR="00B16BE2" w:rsidRDefault="00B16BE2">
            <w:pPr>
              <w:spacing w:line="256" w:lineRule="auto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1 – Transformació del model turístic cap a la sostenibilitat  </w:t>
            </w:r>
          </w:p>
        </w:tc>
      </w:tr>
      <w:tr w:rsidR="00B16BE2" w14:paraId="796E551E" w14:textId="77777777">
        <w:trPr>
          <w:trHeight w:val="840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BF6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Títol del projecte </w:t>
            </w:r>
            <w:proofErr w:type="spellStart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>PSTD</w:t>
            </w:r>
            <w:proofErr w:type="spellEnd"/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51C8" w14:textId="77777777" w:rsidR="00B16BE2" w:rsidRDefault="00B16BE2">
            <w:pPr>
              <w:spacing w:after="12"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Castelló d’Empúries, dues ànimes de </w:t>
            </w:r>
          </w:p>
          <w:p w14:paraId="0F423169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cultura, natura i esport </w:t>
            </w:r>
          </w:p>
        </w:tc>
      </w:tr>
      <w:tr w:rsidR="00B16BE2" w14:paraId="763AF4E1" w14:textId="77777777">
        <w:trPr>
          <w:trHeight w:val="1117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46726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Tipologia d'activitat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CB09" w14:textId="77777777" w:rsidR="00B16BE2" w:rsidRDefault="00B16BE2">
            <w:pPr>
              <w:spacing w:line="256" w:lineRule="auto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bCs/>
                <w:kern w:val="2"/>
                <w:sz w:val="20"/>
                <w:szCs w:val="20"/>
              </w:rPr>
              <w:t xml:space="preserve">Eix 1 “Transició verda i sostenible” Actuació 1 “recuperació de l’ecosistema natural de l’Estany de la Vila ” </w:t>
            </w:r>
          </w:p>
        </w:tc>
      </w:tr>
      <w:tr w:rsidR="00B16BE2" w14:paraId="09984D86" w14:textId="77777777" w:rsidTr="00B16BE2">
        <w:trPr>
          <w:trHeight w:val="384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1490F" w14:textId="77777777" w:rsidR="00B16BE2" w:rsidRDefault="00B16BE2">
            <w:pPr>
              <w:spacing w:line="256" w:lineRule="auto"/>
              <w:ind w:right="59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b/>
                <w:kern w:val="2"/>
                <w:sz w:val="20"/>
                <w:szCs w:val="20"/>
                <w:lang w:eastAsia="es-ES"/>
              </w:rPr>
              <w:t xml:space="preserve">Etiquetatge climàtic i mediambiental assignat a la mesura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9EE3" w14:textId="77777777" w:rsidR="00B16BE2" w:rsidRDefault="00B16BE2">
            <w:pPr>
              <w:spacing w:line="256" w:lineRule="auto"/>
              <w:jc w:val="left"/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</w:pPr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037 mesures d’adaptació al canvi climàtic i prevenció i gestió de riscos relacionats amb el clima: altres, com, per exemple, </w:t>
            </w:r>
            <w:proofErr w:type="spellStart"/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>tormentes</w:t>
            </w:r>
            <w:proofErr w:type="spellEnd"/>
            <w:r>
              <w:rPr>
                <w:rFonts w:eastAsia="Tw Cen MT" w:cs="Tw Cen MT"/>
                <w:kern w:val="2"/>
                <w:sz w:val="20"/>
                <w:szCs w:val="20"/>
                <w:lang w:eastAsia="es-ES"/>
              </w:rPr>
              <w:t xml:space="preserve"> i sequeres (incloses les accions de sensibilització, la protecció civil, els sistemes i infraestructures de gestió de catàstrofes i els enfocaments ecosistèmics).</w:t>
            </w:r>
          </w:p>
        </w:tc>
      </w:tr>
    </w:tbl>
    <w:p w14:paraId="32E2C61A" w14:textId="77777777" w:rsidR="00B16BE2" w:rsidRDefault="00B16BE2" w:rsidP="00B16BE2">
      <w:pPr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8"/>
        <w:gridCol w:w="1822"/>
      </w:tblGrid>
      <w:tr w:rsidR="00B16BE2" w14:paraId="6926EEC3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4AB" w14:textId="77777777" w:rsidR="00B16BE2" w:rsidRDefault="00B16BE2">
            <w:pPr>
              <w:ind w:right="49"/>
              <w:rPr>
                <w:rFonts w:eastAsia="Tw Cen MT" w:cs="Arial"/>
                <w:kern w:val="2"/>
                <w:szCs w:val="22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</w:rPr>
              <w:t>Percentatge de contribució a objectius climàtics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A11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lang w:val="es-ES"/>
              </w:rPr>
            </w:pPr>
            <w:r>
              <w:rPr>
                <w:rFonts w:eastAsia="Tw Cen MT" w:cs="Arial"/>
                <w:kern w:val="2"/>
              </w:rPr>
              <w:t>100 %</w:t>
            </w:r>
          </w:p>
        </w:tc>
      </w:tr>
      <w:tr w:rsidR="00B16BE2" w14:paraId="5609EF58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9EB6" w14:textId="77777777" w:rsidR="00B16BE2" w:rsidRDefault="00B16BE2">
            <w:pPr>
              <w:ind w:right="49"/>
              <w:rPr>
                <w:rFonts w:eastAsia="Tw Cen MT" w:cs="Arial"/>
                <w:kern w:val="2"/>
                <w:lang w:val="es-ES"/>
              </w:rPr>
            </w:pPr>
            <w:r>
              <w:rPr>
                <w:rFonts w:eastAsia="Tw Cen MT" w:cs="Arial"/>
                <w:b/>
                <w:kern w:val="2"/>
              </w:rPr>
              <w:t>Percentatge de contribució a objectius mediambientals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66DD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lang w:val="es-ES"/>
              </w:rPr>
            </w:pPr>
            <w:r>
              <w:rPr>
                <w:rFonts w:eastAsia="Tw Cen MT" w:cs="Arial"/>
                <w:kern w:val="2"/>
              </w:rPr>
              <w:t>100 %</w:t>
            </w:r>
          </w:p>
        </w:tc>
      </w:tr>
    </w:tbl>
    <w:p w14:paraId="562FF29C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802"/>
      </w:tblGrid>
      <w:tr w:rsidR="00B16BE2" w14:paraId="5BFA6EA6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D3E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Política palanca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qual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C95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 xml:space="preserve">5 – Modernització i digitalització del teixit industrial i de la PIME, recuperació del </w:t>
            </w:r>
            <w:r>
              <w:rPr>
                <w:rFonts w:eastAsia="Tw Cen MT" w:cs="Arial"/>
                <w:kern w:val="2"/>
                <w:sz w:val="20"/>
                <w:szCs w:val="20"/>
              </w:rPr>
              <w:lastRenderedPageBreak/>
              <w:t>turisme i impuls a una Espanya nació emprenedora.</w:t>
            </w:r>
          </w:p>
        </w:tc>
      </w:tr>
      <w:tr w:rsidR="00B16BE2" w14:paraId="7C4F9F4B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AD26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lastRenderedPageBreak/>
              <w:t xml:space="preserve">Components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que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5249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14 – Pla de Modernització i competitivitat del sector turístic.</w:t>
            </w:r>
          </w:p>
        </w:tc>
      </w:tr>
      <w:tr w:rsidR="00B16BE2" w14:paraId="68FCBF00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0C37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Mesura (Reforma o Inversió)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5926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 – Transformació del model turístic cap a la sostenibilitat.</w:t>
            </w:r>
          </w:p>
        </w:tc>
      </w:tr>
      <w:tr w:rsidR="00B16BE2" w:rsidRPr="00B16BE2" w14:paraId="0DC4DBC9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45AE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del projecte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PSTD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0684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i/>
                <w:iCs/>
                <w:kern w:val="2"/>
                <w:sz w:val="20"/>
                <w:szCs w:val="20"/>
              </w:rPr>
              <w:t>Castelló d’Empúries, dues ànimes de cultura, natura i esport,</w:t>
            </w:r>
            <w:r>
              <w:rPr>
                <w:rFonts w:eastAsia="Tw Cen MT" w:cs="Arial"/>
                <w:kern w:val="2"/>
                <w:sz w:val="20"/>
                <w:szCs w:val="20"/>
              </w:rPr>
              <w:t xml:space="preserve"> cofinançat a través dels Fons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Next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Generation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EU, en concret dins del programa de Plans de Sostenibilitat Turística en Destinacions (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PSTD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), subvencions destinades per les Comunitats Autònomes a finançar les actuacions previstes en els Plans Territorials de Sostenibilitat Turística provats en l’Acord de la Conferència Sectorial de Turisme, convocatòria extraordinària 2023, promoguda pel Ministeri d'Indústria, Comerç i Turisme. </w:t>
            </w:r>
          </w:p>
        </w:tc>
      </w:tr>
      <w:tr w:rsidR="00B16BE2" w14:paraId="355F0302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5BBA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 l’actuació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C0C4" w14:textId="77777777" w:rsidR="00B16BE2" w:rsidRDefault="00B16BE2">
            <w:pPr>
              <w:ind w:right="49"/>
              <w:rPr>
                <w:rFonts w:eastAsia="Tw Cen MT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kern w:val="2"/>
                <w:sz w:val="20"/>
                <w:szCs w:val="20"/>
              </w:rPr>
              <w:t xml:space="preserve">Eix 1 “Transició Verda i Sostenible” Actuació 2 “Àrea d’esbarjo Estany de la Vila.  </w:t>
            </w:r>
          </w:p>
        </w:tc>
      </w:tr>
      <w:tr w:rsidR="00B16BE2" w14:paraId="124F5BC9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B78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Etiquetatge climàtic i mediambiental assignat a la mesura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38F8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 xml:space="preserve">049 Protecció, restauració i ús sostenible des espais Natura 2000.  </w:t>
            </w:r>
          </w:p>
        </w:tc>
      </w:tr>
    </w:tbl>
    <w:p w14:paraId="0980F1C2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8"/>
        <w:gridCol w:w="1822"/>
      </w:tblGrid>
      <w:tr w:rsidR="00B16BE2" w14:paraId="5139D715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5ABF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1EDD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40 %</w:t>
            </w:r>
          </w:p>
        </w:tc>
      </w:tr>
      <w:tr w:rsidR="00B16BE2" w14:paraId="00321F2B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0F74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247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100 %</w:t>
            </w:r>
          </w:p>
        </w:tc>
      </w:tr>
    </w:tbl>
    <w:p w14:paraId="1DE27224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802"/>
      </w:tblGrid>
      <w:tr w:rsidR="00B16BE2" w14:paraId="01A1AE6F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76E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Política palanca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qual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93D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5 – Modernització i digitalització del teixit industrial i de la PIME, recuperació del turisme i impuls a una Espanya nació emprenedora.</w:t>
            </w:r>
          </w:p>
        </w:tc>
      </w:tr>
      <w:tr w:rsidR="00B16BE2" w14:paraId="71FEA9BB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8090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Components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que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DC8B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14 – Pla de Modernització i competitivitat del sector turístic.</w:t>
            </w:r>
          </w:p>
        </w:tc>
      </w:tr>
      <w:tr w:rsidR="00B16BE2" w14:paraId="5286C5A2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C60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Mesura (Reforma o Inversió)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A904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 – Transformació del model turístic cap a la sostenibilitat.</w:t>
            </w:r>
          </w:p>
        </w:tc>
      </w:tr>
      <w:tr w:rsidR="00B16BE2" w:rsidRPr="00B16BE2" w14:paraId="60610A93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71F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del projecte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PSTD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BFFC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i/>
                <w:iCs/>
                <w:kern w:val="2"/>
                <w:sz w:val="20"/>
                <w:szCs w:val="20"/>
              </w:rPr>
              <w:t>Castelló d’Empúries, dues ànimes de cultura, natura i esport,</w:t>
            </w:r>
            <w:r>
              <w:rPr>
                <w:rFonts w:eastAsia="Tw Cen MT" w:cs="Arial"/>
                <w:kern w:val="2"/>
                <w:sz w:val="20"/>
                <w:szCs w:val="20"/>
              </w:rPr>
              <w:t xml:space="preserve"> cofinançat a través dels Fons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Next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Generation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EU, en concret dins del programa de Plans de Sostenibilitat Turística en Destinacions (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PSTD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), subvencions destinades per les Comunitats Autònomes a finançar les actuacions previstes en els Plans Territorials de Sostenibilitat Turística provats en l’Acord de la Conferència Sectorial de Turisme, convocatòria extraordinària 2023, promoguda pel Ministeri d'Indústria, Comerç i Turisme. </w:t>
            </w:r>
          </w:p>
        </w:tc>
      </w:tr>
      <w:tr w:rsidR="00B16BE2" w14:paraId="3683311C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60D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 l’actuació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32BB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kern w:val="2"/>
                <w:sz w:val="20"/>
                <w:szCs w:val="20"/>
              </w:rPr>
              <w:t xml:space="preserve">Eix 1 “Transició verda i sostenible” Actuació 3 “Eco-observatoris Estany de la Vila”. </w:t>
            </w:r>
          </w:p>
        </w:tc>
      </w:tr>
      <w:tr w:rsidR="00B16BE2" w14:paraId="601196EB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EB4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Etiquetatge climàtic i mediambiental assignat a la mesura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FEF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 xml:space="preserve">049 Protecció, restauració i ús sostenible des espais Natura 2000. </w:t>
            </w:r>
          </w:p>
        </w:tc>
      </w:tr>
    </w:tbl>
    <w:p w14:paraId="1DD7A012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8"/>
        <w:gridCol w:w="1822"/>
      </w:tblGrid>
      <w:tr w:rsidR="00B16BE2" w14:paraId="4AD9B56D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9F30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EDAC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40 %</w:t>
            </w:r>
          </w:p>
        </w:tc>
      </w:tr>
      <w:tr w:rsidR="00B16BE2" w14:paraId="5D1F67AD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FD8D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D3BA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100 %</w:t>
            </w:r>
          </w:p>
        </w:tc>
      </w:tr>
    </w:tbl>
    <w:p w14:paraId="18D94146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805"/>
      </w:tblGrid>
      <w:tr w:rsidR="00B16BE2" w14:paraId="634DDE36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3B5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Política palanca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qual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8952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5 – Modernització i digitalització del teixit industrial i de la PIME, recuperació del turisme i impuls a una Espanya nació emprenedora.</w:t>
            </w:r>
          </w:p>
        </w:tc>
      </w:tr>
      <w:tr w:rsidR="00B16BE2" w14:paraId="22B40290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C23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Components del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PRTR</w:t>
            </w:r>
            <w:proofErr w:type="spellEnd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 al que pertany l'activitat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917C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14 – Pla de Modernització i competitivitat del sector turístic.</w:t>
            </w:r>
          </w:p>
        </w:tc>
      </w:tr>
      <w:tr w:rsidR="00B16BE2" w14:paraId="7ED23A92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10D9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Mesura (Reforma o Inversió)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3A10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 – Transformació del model turístic cap a la sostenibilitat.</w:t>
            </w:r>
          </w:p>
        </w:tc>
      </w:tr>
      <w:tr w:rsidR="00B16BE2" w:rsidRPr="00B16BE2" w14:paraId="48ED8D27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D2C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del projecte </w:t>
            </w:r>
            <w:proofErr w:type="spellStart"/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PSTD</w:t>
            </w:r>
            <w:proofErr w:type="spellEnd"/>
            <w:r>
              <w:rPr>
                <w:rFonts w:eastAsia="Tw Cen MT" w:cs="Arial"/>
                <w:b/>
                <w:strike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DD2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i/>
                <w:iCs/>
                <w:kern w:val="2"/>
                <w:sz w:val="20"/>
                <w:szCs w:val="20"/>
              </w:rPr>
              <w:t>Castelló d’Empúries, dues ànimes de cultura, natura i esport,</w:t>
            </w:r>
            <w:r>
              <w:rPr>
                <w:rFonts w:eastAsia="Tw Cen MT" w:cs="Arial"/>
                <w:kern w:val="2"/>
                <w:sz w:val="20"/>
                <w:szCs w:val="20"/>
              </w:rPr>
              <w:t xml:space="preserve"> cofinançat a través dels Fons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Next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Generation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 xml:space="preserve"> EU, en concret dins del programa de Plans de Sostenibilitat Turística en Destinacions (</w:t>
            </w:r>
            <w:proofErr w:type="spellStart"/>
            <w:r>
              <w:rPr>
                <w:rFonts w:eastAsia="Tw Cen MT" w:cs="Arial"/>
                <w:kern w:val="2"/>
                <w:sz w:val="20"/>
                <w:szCs w:val="20"/>
              </w:rPr>
              <w:t>PSTD</w:t>
            </w:r>
            <w:proofErr w:type="spellEnd"/>
            <w:r>
              <w:rPr>
                <w:rFonts w:eastAsia="Tw Cen MT" w:cs="Arial"/>
                <w:kern w:val="2"/>
                <w:sz w:val="20"/>
                <w:szCs w:val="20"/>
              </w:rPr>
              <w:t>), subvencions destinades per les Comunitats Autònomes a finançar les actuacions previstes en els Plans Territorials de Sostenibilitat Turística provats en l’Acord de la Conferència Sectorial de Turisme, convocatòria extraordinària 2023, promoguda pel Ministeri d'Indústria, Comerç i Turisme.</w:t>
            </w:r>
          </w:p>
        </w:tc>
      </w:tr>
      <w:tr w:rsidR="00B16BE2" w14:paraId="68C230B8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DF2B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 xml:space="preserve">Títol de l’actuació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51D6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bCs/>
                <w:kern w:val="2"/>
                <w:sz w:val="20"/>
                <w:szCs w:val="20"/>
              </w:rPr>
              <w:t xml:space="preserve">Eix 1 “Transició verda i sostenible” Actuació 4 “Connexió Estany de la Vila – Castelló d’Empúries”. </w:t>
            </w:r>
          </w:p>
        </w:tc>
      </w:tr>
      <w:tr w:rsidR="00B16BE2" w14:paraId="5B65B2B6" w14:textId="77777777"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E299" w14:textId="77777777" w:rsidR="00B16BE2" w:rsidRDefault="00B16BE2">
            <w:pPr>
              <w:ind w:right="49"/>
              <w:rPr>
                <w:rFonts w:eastAsia="Tw Cen MT" w:cs="Arial"/>
                <w:b/>
                <w:kern w:val="2"/>
                <w:sz w:val="20"/>
                <w:szCs w:val="20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Etiquetatge climàtic i mediambiental assignat a la mesura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D07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 xml:space="preserve">075 d’infraestructura per a bicicletes. </w:t>
            </w:r>
          </w:p>
        </w:tc>
      </w:tr>
    </w:tbl>
    <w:p w14:paraId="6785E2E8" w14:textId="77777777" w:rsidR="00B16BE2" w:rsidRDefault="00B16BE2" w:rsidP="00B16BE2">
      <w:pPr>
        <w:jc w:val="center"/>
        <w:rPr>
          <w:rFonts w:cs="Arial"/>
          <w:b/>
          <w:bCs/>
          <w:sz w:val="20"/>
          <w:szCs w:val="20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8"/>
        <w:gridCol w:w="1822"/>
      </w:tblGrid>
      <w:tr w:rsidR="00B16BE2" w14:paraId="1CC4E8E9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C29D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 w:eastAsia="zh-CN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BCD4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100 %</w:t>
            </w:r>
          </w:p>
        </w:tc>
      </w:tr>
      <w:tr w:rsidR="00B16BE2" w14:paraId="3E41C49B" w14:textId="77777777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E898" w14:textId="77777777" w:rsidR="00B16BE2" w:rsidRDefault="00B16BE2">
            <w:pPr>
              <w:ind w:right="49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b/>
                <w:kern w:val="2"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E0AB" w14:textId="77777777" w:rsidR="00B16BE2" w:rsidRDefault="00B16BE2">
            <w:pPr>
              <w:ind w:right="49"/>
              <w:jc w:val="center"/>
              <w:rPr>
                <w:rFonts w:eastAsia="Tw Cen MT" w:cs="Arial"/>
                <w:kern w:val="2"/>
                <w:sz w:val="20"/>
                <w:szCs w:val="20"/>
                <w:lang w:val="es-ES"/>
              </w:rPr>
            </w:pPr>
            <w:r>
              <w:rPr>
                <w:rFonts w:eastAsia="Tw Cen MT" w:cs="Arial"/>
                <w:kern w:val="2"/>
                <w:sz w:val="20"/>
                <w:szCs w:val="20"/>
              </w:rPr>
              <w:t>100 %</w:t>
            </w:r>
          </w:p>
        </w:tc>
      </w:tr>
    </w:tbl>
    <w:p w14:paraId="7C2048E5" w14:textId="77777777" w:rsidR="00B16BE2" w:rsidRDefault="00B16BE2" w:rsidP="00B16BE2">
      <w:pPr>
        <w:spacing w:after="11" w:line="244" w:lineRule="auto"/>
        <w:ind w:left="15" w:right="49" w:hanging="10"/>
        <w:rPr>
          <w:rFonts w:eastAsia="Tw Cen MT" w:cs="Tw Cen MT"/>
          <w:color w:val="00B050"/>
          <w:kern w:val="2"/>
          <w:sz w:val="20"/>
          <w:szCs w:val="20"/>
          <w:lang w:val="es-ES" w:eastAsia="es-ES"/>
        </w:rPr>
      </w:pPr>
    </w:p>
    <w:p w14:paraId="7D996A2E" w14:textId="77777777" w:rsidR="00B16BE2" w:rsidRDefault="00B16BE2" w:rsidP="00B16BE2">
      <w:pPr>
        <w:rPr>
          <w:rFonts w:cs="Aptos"/>
          <w:bCs/>
          <w:sz w:val="20"/>
          <w:szCs w:val="20"/>
          <w:lang w:eastAsia="zh-CN"/>
        </w:rPr>
      </w:pPr>
      <w:r>
        <w:rPr>
          <w:rFonts w:cs="Aptos"/>
          <w:b/>
          <w:sz w:val="20"/>
          <w:szCs w:val="20"/>
        </w:rPr>
        <w:t>[Nom i cognoms]</w:t>
      </w:r>
      <w:r>
        <w:rPr>
          <w:rFonts w:cs="Aptos"/>
          <w:bCs/>
          <w:sz w:val="20"/>
          <w:szCs w:val="20"/>
        </w:rPr>
        <w:t xml:space="preserve">, amb DNI </w:t>
      </w:r>
      <w:r>
        <w:rPr>
          <w:rFonts w:cs="Aptos"/>
          <w:b/>
          <w:sz w:val="20"/>
          <w:szCs w:val="20"/>
        </w:rPr>
        <w:t>[núm. DNI]</w:t>
      </w:r>
      <w:r>
        <w:rPr>
          <w:rFonts w:cs="Aptos"/>
          <w:bCs/>
          <w:sz w:val="20"/>
          <w:szCs w:val="20"/>
        </w:rPr>
        <w:t xml:space="preserve">, en representació de </w:t>
      </w:r>
      <w:r>
        <w:rPr>
          <w:rFonts w:cs="Aptos"/>
          <w:b/>
          <w:sz w:val="20"/>
          <w:szCs w:val="20"/>
        </w:rPr>
        <w:t>[nom entitat]</w:t>
      </w:r>
      <w:r>
        <w:rPr>
          <w:rFonts w:cs="Aptos"/>
          <w:bCs/>
          <w:sz w:val="20"/>
          <w:szCs w:val="20"/>
        </w:rPr>
        <w:t xml:space="preserve">, amb NIF </w:t>
      </w:r>
      <w:r>
        <w:rPr>
          <w:rFonts w:cs="Aptos"/>
          <w:b/>
          <w:sz w:val="20"/>
          <w:szCs w:val="20"/>
        </w:rPr>
        <w:t>[núm. NIF]</w:t>
      </w:r>
      <w:r>
        <w:rPr>
          <w:rFonts w:cs="Aptos"/>
          <w:bCs/>
          <w:sz w:val="20"/>
          <w:szCs w:val="20"/>
        </w:rPr>
        <w:t xml:space="preserve">, en qualitat de </w:t>
      </w:r>
      <w:r>
        <w:rPr>
          <w:rFonts w:cs="Aptos"/>
          <w:b/>
          <w:sz w:val="20"/>
          <w:szCs w:val="20"/>
        </w:rPr>
        <w:t>[càrrec],</w:t>
      </w:r>
      <w:r>
        <w:rPr>
          <w:rFonts w:cs="Aptos"/>
          <w:bCs/>
          <w:sz w:val="20"/>
          <w:szCs w:val="20"/>
        </w:rPr>
        <w:t xml:space="preserve"> com a participant en el procediment d’adjudicació del contracte indicat, sota la meva responsabilitat, en matèria mediambiental </w:t>
      </w:r>
      <w:r>
        <w:rPr>
          <w:rFonts w:cs="Aptos"/>
          <w:b/>
          <w:sz w:val="20"/>
          <w:szCs w:val="20"/>
        </w:rPr>
        <w:t>declaro que:</w:t>
      </w:r>
      <w:r>
        <w:rPr>
          <w:rFonts w:cs="Aptos"/>
          <w:bCs/>
          <w:sz w:val="20"/>
          <w:szCs w:val="20"/>
        </w:rPr>
        <w:t xml:space="preserve"> </w:t>
      </w:r>
    </w:p>
    <w:p w14:paraId="018B639F" w14:textId="77777777" w:rsidR="00B16BE2" w:rsidRDefault="00B16BE2" w:rsidP="00B16BE2">
      <w:pPr>
        <w:rPr>
          <w:rFonts w:cs="Aptos"/>
          <w:bCs/>
          <w:sz w:val="20"/>
          <w:szCs w:val="20"/>
        </w:rPr>
      </w:pPr>
    </w:p>
    <w:p w14:paraId="5B797672" w14:textId="77777777" w:rsidR="00B16BE2" w:rsidRDefault="00B16BE2" w:rsidP="00B16BE2">
      <w:pPr>
        <w:rPr>
          <w:rFonts w:cs="Aptos"/>
          <w:bCs/>
          <w:sz w:val="20"/>
          <w:szCs w:val="20"/>
        </w:rPr>
      </w:pPr>
      <w:r>
        <w:rPr>
          <w:rFonts w:cs="Aptos"/>
          <w:bCs/>
          <w:sz w:val="20"/>
          <w:szCs w:val="20"/>
        </w:rPr>
        <w:t>Que l’entitat sol·licitant a la qual represento, tenint el compte totes les fases del cicle de vida del projecte o activitat que s’ha de desenvolupar, tant durant la implantació com al final de la seva vida útil, complirà amb el principi de no ocasionar un perjudici significatiu al medi ambient (</w:t>
      </w:r>
      <w:proofErr w:type="spellStart"/>
      <w:r>
        <w:rPr>
          <w:rFonts w:cs="Aptos"/>
          <w:bCs/>
          <w:sz w:val="20"/>
          <w:szCs w:val="20"/>
        </w:rPr>
        <w:t>DNSH</w:t>
      </w:r>
      <w:proofErr w:type="spellEnd"/>
      <w:r>
        <w:rPr>
          <w:rFonts w:cs="Aptos"/>
          <w:bCs/>
          <w:sz w:val="20"/>
          <w:szCs w:val="20"/>
        </w:rPr>
        <w:t>), exigit pel Reglament (UE) 2021/241, pel qual s’estableix el Mecanisme de Recuperació i Resiliència, de manera que:</w:t>
      </w:r>
    </w:p>
    <w:p w14:paraId="5DC1C948" w14:textId="77777777" w:rsidR="00B16BE2" w:rsidRDefault="00B16BE2" w:rsidP="00B16BE2">
      <w:pPr>
        <w:rPr>
          <w:rFonts w:cs="Aptos"/>
          <w:bCs/>
          <w:sz w:val="20"/>
          <w:szCs w:val="20"/>
        </w:rPr>
      </w:pPr>
    </w:p>
    <w:p w14:paraId="6E53BA9A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rFonts w:eastAsia="Symbol"/>
          <w:sz w:val="20"/>
          <w:szCs w:val="20"/>
        </w:rPr>
        <w:t>1. Mitigació del canvi climàtic.</w:t>
      </w:r>
    </w:p>
    <w:p w14:paraId="1D2A91EB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2. Adaptació al canvi climàtic.</w:t>
      </w:r>
    </w:p>
    <w:p w14:paraId="052CB479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3. Ús sostenible i protecció dels recursos hídrics i marins.</w:t>
      </w:r>
    </w:p>
    <w:p w14:paraId="1F14401B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4. Economia circular, inclosos la prevenció i el reciclatge de residus.</w:t>
      </w:r>
    </w:p>
    <w:p w14:paraId="66EBFD7C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5. Prevenció i control de la contaminació a l'atmosfera, l'aigua o el sòl.</w:t>
      </w:r>
    </w:p>
    <w:p w14:paraId="0668684D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6. Protecció i restauració de la biodiversitat i els ecosistemes.</w:t>
      </w:r>
    </w:p>
    <w:p w14:paraId="6E75F4D0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3E3DBB29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B. Les activitats s'adeqüen, en el seu cas, a les característiques i condicions fixades</w:t>
      </w:r>
    </w:p>
    <w:p w14:paraId="6141E770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 xml:space="preserve">per a la mesura i </w:t>
      </w:r>
      <w:proofErr w:type="spellStart"/>
      <w:r>
        <w:rPr>
          <w:rFonts w:eastAsia="Symbol"/>
          <w:sz w:val="20"/>
          <w:szCs w:val="20"/>
        </w:rPr>
        <w:t>submesura</w:t>
      </w:r>
      <w:proofErr w:type="spellEnd"/>
      <w:r>
        <w:rPr>
          <w:rFonts w:eastAsia="Symbol"/>
          <w:sz w:val="20"/>
          <w:szCs w:val="20"/>
        </w:rPr>
        <w:t xml:space="preserve"> de la Component i reflectides en el Pla de Recuperació,</w:t>
      </w:r>
    </w:p>
    <w:p w14:paraId="3858A1D5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Transformació i Resiliència.</w:t>
      </w:r>
    </w:p>
    <w:p w14:paraId="3B4542AB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6B1B6F3D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C. Les activitats que es desenvolupen en el projecte compliran la normativa mediambiental vigent que resulti d'aplicació.</w:t>
      </w:r>
    </w:p>
    <w:p w14:paraId="16875E30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623527FC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D. Les activitats que es desenvolupen no estan excloses per al seu finançament pel</w:t>
      </w:r>
    </w:p>
    <w:p w14:paraId="2C4BD281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 xml:space="preserve">Pla conforme a la Guia tècnica sobre l'aplicació del principi de «no causar un perjudici significatiu» en virtut del Reglament relatiu al Mecanisme de Recuperació i Resiliència (2021/C </w:t>
      </w:r>
      <w:r>
        <w:rPr>
          <w:rFonts w:eastAsia="Symbol"/>
          <w:sz w:val="20"/>
          <w:szCs w:val="20"/>
        </w:rPr>
        <w:lastRenderedPageBreak/>
        <w:t>58/01)32, a la Proposta de Decisió d'Execució del Consell relativa a l'aprovació de l'avaluació del pla de recuperació i resiliència de España i al seu corresponent annex.</w:t>
      </w:r>
    </w:p>
    <w:p w14:paraId="73D75E2D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2844D0D8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E. Les activitats que es desenvolupen no causen efectes directes sobre el medi ambient,</w:t>
      </w:r>
    </w:p>
    <w:p w14:paraId="730CC8E8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ni efectes indirectes primaris en tot el seu cicle de vida, entenent com a tals</w:t>
      </w:r>
    </w:p>
    <w:p w14:paraId="4C844F56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aquells que poguessin materialitzar-se després de la seva finalització, una vegada realitzada l'activitat.</w:t>
      </w:r>
    </w:p>
    <w:p w14:paraId="0AE4752E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79701E81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L'incompliment d'algun dels requisits establerts en la present declaració donarà lloc a l'obligació de retornar les quantitats percebudes i els interessos de demora corresponents.</w:t>
      </w:r>
    </w:p>
    <w:p w14:paraId="5D4F2EED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41C821E0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35C857CE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Data:</w:t>
      </w:r>
    </w:p>
    <w:p w14:paraId="61DD53F9" w14:textId="77777777" w:rsidR="00B16BE2" w:rsidRDefault="00B16BE2" w:rsidP="00B16BE2">
      <w:pPr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Signat:</w:t>
      </w:r>
      <w:bookmarkEnd w:id="0"/>
    </w:p>
    <w:sectPr w:rsidR="00B16BE2" w:rsidSect="001B6763">
      <w:headerReference w:type="default" r:id="rId7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5290" w14:textId="77777777" w:rsidR="00DE0CAC" w:rsidRDefault="00DE0CAC">
      <w:r>
        <w:separator/>
      </w:r>
    </w:p>
  </w:endnote>
  <w:endnote w:type="continuationSeparator" w:id="0">
    <w:p w14:paraId="6940DC97" w14:textId="77777777" w:rsidR="00DE0CAC" w:rsidRDefault="00DE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377D" w14:textId="77777777" w:rsidR="00DE0CAC" w:rsidRDefault="00DE0CAC">
      <w:r>
        <w:separator/>
      </w:r>
    </w:p>
  </w:footnote>
  <w:footnote w:type="continuationSeparator" w:id="0">
    <w:p w14:paraId="19FF60DF" w14:textId="77777777" w:rsidR="00DE0CAC" w:rsidRDefault="00DE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48A4F742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1B6763"/>
    <w:rsid w:val="003A1B03"/>
    <w:rsid w:val="004E414A"/>
    <w:rsid w:val="00945298"/>
    <w:rsid w:val="00AA4205"/>
    <w:rsid w:val="00B16BE2"/>
    <w:rsid w:val="00B2309A"/>
    <w:rsid w:val="00DE0CAC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absisweb</dc:creator>
  <cp:lastModifiedBy>Xavier Garriga</cp:lastModifiedBy>
  <cp:revision>2</cp:revision>
  <dcterms:created xsi:type="dcterms:W3CDTF">2026-02-11T12:49:00Z</dcterms:created>
  <dcterms:modified xsi:type="dcterms:W3CDTF">2026-02-11T12:49:00Z</dcterms:modified>
</cp:coreProperties>
</file>