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3FF7961" w14:textId="707EDF07" w:rsidR="009F0470" w:rsidRDefault="009F0470" w:rsidP="009F0470">
      <w:pPr>
        <w:spacing w:after="0"/>
        <w:jc w:val="both"/>
        <w:rPr>
          <w:rFonts w:ascii="Arial" w:hAnsi="Arial" w:cs="Arial"/>
          <w:b/>
          <w:sz w:val="20"/>
          <w:szCs w:val="20"/>
        </w:rPr>
      </w:pPr>
      <w:r w:rsidRPr="008E4595">
        <w:rPr>
          <w:rFonts w:ascii="Arial" w:hAnsi="Arial" w:cs="Arial"/>
          <w:b/>
          <w:sz w:val="20"/>
          <w:szCs w:val="20"/>
        </w:rPr>
        <w:t xml:space="preserve">Expedient: </w:t>
      </w:r>
      <w:r w:rsidR="00845390">
        <w:rPr>
          <w:rFonts w:ascii="Arial" w:hAnsi="Arial" w:cs="Arial"/>
          <w:b/>
          <w:sz w:val="20"/>
          <w:szCs w:val="20"/>
        </w:rPr>
        <w:t>350/2026</w:t>
      </w:r>
    </w:p>
    <w:p w14:paraId="4E3F004F" w14:textId="77777777" w:rsidR="00845390" w:rsidRPr="008E4595" w:rsidRDefault="00845390" w:rsidP="009F0470">
      <w:pPr>
        <w:spacing w:after="0"/>
        <w:jc w:val="both"/>
        <w:rPr>
          <w:rFonts w:ascii="Arial" w:hAnsi="Arial" w:cs="Arial"/>
          <w:b/>
          <w:sz w:val="20"/>
          <w:szCs w:val="20"/>
        </w:rPr>
      </w:pPr>
    </w:p>
    <w:p w14:paraId="799B8299" w14:textId="1B67BB74" w:rsidR="00845390" w:rsidRDefault="009F0470" w:rsidP="008E4595">
      <w:pPr>
        <w:spacing w:after="0" w:line="276" w:lineRule="auto"/>
        <w:jc w:val="both"/>
        <w:rPr>
          <w:rFonts w:ascii="Arial" w:hAnsi="Arial" w:cs="Arial"/>
          <w:spacing w:val="3"/>
          <w:sz w:val="20"/>
          <w:szCs w:val="20"/>
        </w:rPr>
      </w:pPr>
      <w:bookmarkStart w:id="0" w:name="_Hlk188534022"/>
      <w:r w:rsidRPr="008E4595">
        <w:rPr>
          <w:rFonts w:ascii="Arial" w:hAnsi="Arial" w:cs="Arial"/>
          <w:b/>
          <w:sz w:val="20"/>
          <w:szCs w:val="20"/>
        </w:rPr>
        <w:t xml:space="preserve">Identificació de l’actuació: </w:t>
      </w:r>
      <w:bookmarkEnd w:id="0"/>
      <w:r w:rsidR="003B29BF">
        <w:rPr>
          <w:rFonts w:ascii="Arial" w:hAnsi="Arial" w:cs="Arial"/>
          <w:spacing w:val="3"/>
          <w:sz w:val="20"/>
          <w:szCs w:val="20"/>
        </w:rPr>
        <w:t>S</w:t>
      </w:r>
      <w:r w:rsidR="008E4595" w:rsidRPr="008E4595">
        <w:rPr>
          <w:rFonts w:ascii="Arial" w:hAnsi="Arial" w:cs="Arial"/>
          <w:spacing w:val="3"/>
          <w:sz w:val="20"/>
          <w:szCs w:val="20"/>
        </w:rPr>
        <w:t xml:space="preserve">ubministrament </w:t>
      </w:r>
      <w:r w:rsidR="00845390" w:rsidRPr="00845390">
        <w:rPr>
          <w:rFonts w:ascii="Arial" w:hAnsi="Arial" w:cs="Arial"/>
          <w:spacing w:val="3"/>
          <w:sz w:val="20"/>
          <w:szCs w:val="20"/>
        </w:rPr>
        <w:t xml:space="preserve">i instal·lació elèctrica d'enllaç als sistemes fotovoltaics de l'aparcament Les Palmeres de Calella, en el marc del PSTD Calella (PRTR- </w:t>
      </w:r>
      <w:proofErr w:type="spellStart"/>
      <w:r w:rsidR="00845390" w:rsidRPr="00845390">
        <w:rPr>
          <w:rFonts w:ascii="Arial" w:hAnsi="Arial" w:cs="Arial"/>
          <w:spacing w:val="3"/>
          <w:sz w:val="20"/>
          <w:szCs w:val="20"/>
        </w:rPr>
        <w:t>Next</w:t>
      </w:r>
      <w:proofErr w:type="spellEnd"/>
      <w:r w:rsidR="00845390" w:rsidRPr="00845390">
        <w:rPr>
          <w:rFonts w:ascii="Arial" w:hAnsi="Arial" w:cs="Arial"/>
          <w:spacing w:val="3"/>
          <w:sz w:val="20"/>
          <w:szCs w:val="20"/>
        </w:rPr>
        <w:t xml:space="preserve"> </w:t>
      </w:r>
      <w:proofErr w:type="spellStart"/>
      <w:r w:rsidR="00845390" w:rsidRPr="00845390">
        <w:rPr>
          <w:rFonts w:ascii="Arial" w:hAnsi="Arial" w:cs="Arial"/>
          <w:spacing w:val="3"/>
          <w:sz w:val="20"/>
          <w:szCs w:val="20"/>
        </w:rPr>
        <w:t>Generation</w:t>
      </w:r>
      <w:proofErr w:type="spellEnd"/>
      <w:r w:rsidR="00845390" w:rsidRPr="00845390">
        <w:rPr>
          <w:rFonts w:ascii="Arial" w:hAnsi="Arial" w:cs="Arial"/>
          <w:spacing w:val="3"/>
          <w:sz w:val="20"/>
          <w:szCs w:val="20"/>
        </w:rPr>
        <w:t>).</w:t>
      </w:r>
    </w:p>
    <w:p w14:paraId="4055D8E6" w14:textId="75997699" w:rsidR="008E4595" w:rsidRPr="008E4595" w:rsidRDefault="008E4595" w:rsidP="008E4595">
      <w:pPr>
        <w:spacing w:after="0" w:line="276" w:lineRule="auto"/>
        <w:jc w:val="both"/>
        <w:rPr>
          <w:rFonts w:ascii="Arial" w:hAnsi="Arial" w:cs="Arial"/>
          <w:sz w:val="20"/>
          <w:szCs w:val="20"/>
        </w:rPr>
      </w:pPr>
    </w:p>
    <w:p w14:paraId="17F0AD3C" w14:textId="77777777" w:rsidR="00611142" w:rsidRPr="008E4595" w:rsidRDefault="00611142" w:rsidP="0056300C">
      <w:pPr>
        <w:spacing w:after="0"/>
        <w:jc w:val="both"/>
        <w:rPr>
          <w:rFonts w:ascii="Arial" w:hAnsi="Arial" w:cs="Arial"/>
          <w:sz w:val="20"/>
        </w:rPr>
      </w:pPr>
    </w:p>
    <w:p w14:paraId="6B254956" w14:textId="77777777" w:rsidR="0056300C" w:rsidRPr="008E4595" w:rsidRDefault="0056300C" w:rsidP="0056300C">
      <w:pPr>
        <w:spacing w:after="0"/>
        <w:jc w:val="both"/>
        <w:rPr>
          <w:rFonts w:ascii="Arial" w:hAnsi="Arial" w:cs="Arial"/>
          <w:sz w:val="20"/>
        </w:rPr>
      </w:pPr>
      <w:r w:rsidRPr="008E4595">
        <w:rPr>
          <w:rFonts w:ascii="Arial" w:hAnsi="Arial" w:cs="Arial"/>
          <w:sz w:val="20"/>
        </w:rPr>
        <w:t>Component del Pla de Recuperació, transformació i resiliència (PRTR) al qual pertany l’activitat: 14</w:t>
      </w:r>
    </w:p>
    <w:p w14:paraId="393246CD" w14:textId="16B746C0" w:rsidR="00E51B38" w:rsidRDefault="0056300C" w:rsidP="0056300C">
      <w:pPr>
        <w:spacing w:after="0"/>
        <w:jc w:val="both"/>
        <w:rPr>
          <w:rFonts w:ascii="Arial" w:hAnsi="Arial" w:cs="Arial"/>
          <w:sz w:val="20"/>
        </w:rPr>
      </w:pPr>
      <w:r w:rsidRPr="008E4595">
        <w:rPr>
          <w:rFonts w:ascii="Arial" w:hAnsi="Arial" w:cs="Arial"/>
          <w:sz w:val="20"/>
        </w:rPr>
        <w:t>Mesura del component PRTR a qu</w:t>
      </w:r>
      <w:r w:rsidR="004A4703" w:rsidRPr="008E4595">
        <w:rPr>
          <w:rFonts w:ascii="Arial" w:hAnsi="Arial" w:cs="Arial"/>
          <w:sz w:val="20"/>
        </w:rPr>
        <w:t xml:space="preserve">è pertany </w:t>
      </w:r>
      <w:r w:rsidR="00E46FB0" w:rsidRPr="008E4595">
        <w:rPr>
          <w:rFonts w:ascii="Arial" w:hAnsi="Arial" w:cs="Arial"/>
          <w:sz w:val="20"/>
        </w:rPr>
        <w:t xml:space="preserve">l’activitat indicant: </w:t>
      </w:r>
      <w:r w:rsidR="00E51B38">
        <w:rPr>
          <w:rFonts w:ascii="Arial" w:hAnsi="Arial" w:cs="Arial"/>
          <w:sz w:val="20"/>
        </w:rPr>
        <w:t>A</w:t>
      </w:r>
      <w:r w:rsidR="00E51B38">
        <w:rPr>
          <w:rFonts w:ascii="Arial" w:hAnsi="Arial" w:cs="Arial"/>
          <w:sz w:val="20"/>
        </w:rPr>
        <w:t>ctuació 1 – eix 2: millora de l’eficiència energètica</w:t>
      </w:r>
      <w:r w:rsidR="00E51B38">
        <w:rPr>
          <w:rFonts w:ascii="Arial" w:hAnsi="Arial" w:cs="Arial"/>
          <w:sz w:val="20"/>
        </w:rPr>
        <w:t>.</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42FD9D8D"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w:t>
      </w:r>
      <w:r w:rsidR="003B29BF">
        <w:rPr>
          <w:rFonts w:ascii="Arial" w:hAnsi="Arial" w:cs="Arial"/>
          <w:sz w:val="20"/>
        </w:rPr>
        <w:t>NIF</w:t>
      </w:r>
      <w:r w:rsidRPr="0056300C">
        <w:rPr>
          <w:rFonts w:ascii="Arial" w:hAnsi="Arial" w:cs="Arial"/>
          <w:sz w:val="20"/>
        </w:rPr>
        <w:t xml:space="preserve">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3B29BF">
        <w:rPr>
          <w:rFonts w:ascii="Arial" w:hAnsi="Arial" w:cs="Arial"/>
          <w:sz w:val="20"/>
        </w:rPr>
        <w:t>N</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C5A47"/>
    <w:rsid w:val="001E07FC"/>
    <w:rsid w:val="002452B2"/>
    <w:rsid w:val="00246FF6"/>
    <w:rsid w:val="002D5A21"/>
    <w:rsid w:val="002E2F12"/>
    <w:rsid w:val="003325F8"/>
    <w:rsid w:val="00365BD8"/>
    <w:rsid w:val="00391736"/>
    <w:rsid w:val="003B29BF"/>
    <w:rsid w:val="004552AD"/>
    <w:rsid w:val="00466ADD"/>
    <w:rsid w:val="004A4703"/>
    <w:rsid w:val="00507716"/>
    <w:rsid w:val="00525293"/>
    <w:rsid w:val="0056300C"/>
    <w:rsid w:val="00611142"/>
    <w:rsid w:val="0064741E"/>
    <w:rsid w:val="006D4285"/>
    <w:rsid w:val="00722434"/>
    <w:rsid w:val="00761618"/>
    <w:rsid w:val="00765855"/>
    <w:rsid w:val="0078587B"/>
    <w:rsid w:val="00845390"/>
    <w:rsid w:val="008E4595"/>
    <w:rsid w:val="009F0470"/>
    <w:rsid w:val="00A04176"/>
    <w:rsid w:val="00B915B7"/>
    <w:rsid w:val="00BD7981"/>
    <w:rsid w:val="00C436ED"/>
    <w:rsid w:val="00C632C8"/>
    <w:rsid w:val="00D87641"/>
    <w:rsid w:val="00E04D2B"/>
    <w:rsid w:val="00E46FB0"/>
    <w:rsid w:val="00E51B38"/>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748</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23</cp:revision>
  <cp:lastPrinted>2025-05-06T15:38:00Z</cp:lastPrinted>
  <dcterms:created xsi:type="dcterms:W3CDTF">2024-03-06T07:41:00Z</dcterms:created>
  <dcterms:modified xsi:type="dcterms:W3CDTF">2026-01-23T08:35:00Z</dcterms:modified>
</cp:coreProperties>
</file>