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47AD5" w14:textId="77777777" w:rsidR="008A4D62" w:rsidRPr="008A4D62" w:rsidRDefault="008A4D62" w:rsidP="008A4D62">
      <w:pPr>
        <w:autoSpaceDE w:val="0"/>
        <w:autoSpaceDN w:val="0"/>
        <w:adjustRightInd w:val="0"/>
        <w:spacing w:line="240" w:lineRule="auto"/>
        <w:ind w:left="-567" w:firstLine="567"/>
        <w:jc w:val="both"/>
        <w:rPr>
          <w:rFonts w:ascii="Verdana" w:hAnsi="Verdana" w:cs="Arial"/>
          <w:sz w:val="20"/>
          <w:szCs w:val="20"/>
        </w:rPr>
      </w:pPr>
    </w:p>
    <w:p w14:paraId="43093E08" w14:textId="77777777" w:rsidR="008A4D62" w:rsidRPr="008A4D62" w:rsidRDefault="008A4D62" w:rsidP="008A4D62">
      <w:pPr>
        <w:spacing w:before="240" w:after="60" w:line="240" w:lineRule="auto"/>
        <w:jc w:val="center"/>
        <w:outlineLvl w:val="7"/>
        <w:rPr>
          <w:rFonts w:ascii="Verdana" w:hAnsi="Verdana"/>
          <w:b/>
          <w:bCs/>
          <w:sz w:val="20"/>
          <w:szCs w:val="20"/>
        </w:rPr>
      </w:pPr>
      <w:bookmarkStart w:id="0" w:name="_Hlk215583612"/>
      <w:r w:rsidRPr="008A4D62">
        <w:rPr>
          <w:rFonts w:ascii="Verdana" w:hAnsi="Verdana"/>
          <w:b/>
          <w:bCs/>
          <w:sz w:val="20"/>
          <w:szCs w:val="20"/>
        </w:rPr>
        <w:t>Criterios que dependen de un juicio de valor (45%)</w:t>
      </w:r>
    </w:p>
    <w:p w14:paraId="549D8E06" w14:textId="77777777" w:rsidR="008A4D62" w:rsidRPr="008A4D62" w:rsidRDefault="008A4D62" w:rsidP="008A4D62">
      <w:pPr>
        <w:autoSpaceDE w:val="0"/>
        <w:autoSpaceDN w:val="0"/>
        <w:adjustRightInd w:val="0"/>
        <w:spacing w:line="240" w:lineRule="auto"/>
        <w:ind w:left="-567" w:firstLine="567"/>
        <w:jc w:val="both"/>
        <w:rPr>
          <w:rFonts w:ascii="Verdana" w:hAnsi="Verdana" w:cs="Arial"/>
          <w:sz w:val="20"/>
          <w:szCs w:val="20"/>
        </w:rPr>
      </w:pPr>
    </w:p>
    <w:p w14:paraId="3B5E6335" w14:textId="77777777" w:rsidR="008A4D62" w:rsidRPr="008A4D62" w:rsidRDefault="008A4D62" w:rsidP="008A4D62">
      <w:pPr>
        <w:spacing w:before="240" w:after="60" w:line="240" w:lineRule="auto"/>
        <w:jc w:val="both"/>
        <w:outlineLvl w:val="8"/>
        <w:rPr>
          <w:rFonts w:ascii="Verdana" w:hAnsi="Verdana"/>
          <w:sz w:val="20"/>
          <w:szCs w:val="20"/>
        </w:rPr>
      </w:pPr>
      <w:bookmarkStart w:id="1" w:name="_Hlk171582797"/>
      <w:bookmarkStart w:id="2" w:name="_Hlk172100905"/>
      <w:bookmarkStart w:id="3" w:name="_Hlk178188490"/>
      <w:bookmarkStart w:id="4" w:name="_Hlk203046467"/>
      <w:bookmarkStart w:id="5" w:name="_Hlk215140831"/>
      <w:r w:rsidRPr="008A4D62">
        <w:rPr>
          <w:rFonts w:ascii="Verdana" w:hAnsi="Verdana"/>
          <w:b/>
          <w:bCs/>
          <w:sz w:val="20"/>
          <w:szCs w:val="20"/>
          <w:u w:val="single"/>
        </w:rPr>
        <w:t>Criterio 1</w:t>
      </w:r>
      <w:r w:rsidRPr="008A4D62">
        <w:rPr>
          <w:rFonts w:ascii="Verdana" w:hAnsi="Verdana"/>
          <w:b/>
          <w:bCs/>
          <w:sz w:val="20"/>
          <w:szCs w:val="20"/>
        </w:rPr>
        <w:t>:</w:t>
      </w:r>
      <w:r w:rsidRPr="008A4D62">
        <w:rPr>
          <w:rFonts w:ascii="Verdana" w:hAnsi="Verdana"/>
          <w:sz w:val="20"/>
          <w:szCs w:val="20"/>
        </w:rPr>
        <w:t xml:space="preserve"> Memoria metodológica...................................................... hasta 45 puntos</w:t>
      </w:r>
    </w:p>
    <w:p w14:paraId="2F10B8BA" w14:textId="77777777" w:rsidR="008A4D62" w:rsidRPr="008A4D62" w:rsidRDefault="008A4D62" w:rsidP="008A4D62">
      <w:pPr>
        <w:autoSpaceDE w:val="0"/>
        <w:spacing w:line="240" w:lineRule="auto"/>
        <w:ind w:left="-567" w:firstLine="567"/>
        <w:jc w:val="both"/>
        <w:rPr>
          <w:rFonts w:ascii="Verdana" w:hAnsi="Verdana" w:cs="Arial"/>
          <w:sz w:val="20"/>
          <w:szCs w:val="20"/>
        </w:rPr>
      </w:pPr>
    </w:p>
    <w:p w14:paraId="2F8B948F" w14:textId="77777777" w:rsidR="008A4D62" w:rsidRPr="008A4D62" w:rsidRDefault="008A4D62" w:rsidP="008A4D62">
      <w:pPr>
        <w:spacing w:after="120" w:line="240" w:lineRule="auto"/>
        <w:jc w:val="both"/>
        <w:rPr>
          <w:rFonts w:ascii="Verdana" w:hAnsi="Verdana"/>
          <w:sz w:val="20"/>
          <w:szCs w:val="20"/>
          <w:u w:val="single"/>
        </w:rPr>
      </w:pPr>
      <w:bookmarkStart w:id="6" w:name="_Hlk215140752"/>
      <w:r w:rsidRPr="008A4D62">
        <w:rPr>
          <w:rFonts w:ascii="Verdana" w:hAnsi="Verdana"/>
          <w:sz w:val="20"/>
          <w:szCs w:val="20"/>
        </w:rPr>
        <w:t xml:space="preserve">La memoria en conjunto no puede superar </w:t>
      </w:r>
      <w:r w:rsidRPr="008A4D62">
        <w:rPr>
          <w:rFonts w:ascii="Verdana" w:hAnsi="Verdana"/>
          <w:sz w:val="20"/>
          <w:szCs w:val="20"/>
          <w:u w:val="single"/>
        </w:rPr>
        <w:t>10 hojas DinA-4</w:t>
      </w:r>
      <w:r w:rsidRPr="008A4D62">
        <w:rPr>
          <w:rFonts w:ascii="Verdana" w:hAnsi="Verdana"/>
          <w:sz w:val="20"/>
          <w:szCs w:val="20"/>
        </w:rPr>
        <w:t xml:space="preserve"> a una sola cara, espaciado simple y letra cuerpo 11. En esta extensión se incluyen imágenes y gráficos y no se incluyen índice y portada. </w:t>
      </w:r>
      <w:bookmarkStart w:id="7" w:name="_Hlk215229414"/>
      <w:bookmarkStart w:id="8" w:name="_Hlk215744299"/>
      <w:bookmarkStart w:id="9" w:name="_Hlk215229427"/>
      <w:bookmarkStart w:id="10" w:name="_Hlk216342753"/>
      <w:bookmarkEnd w:id="7"/>
      <w:r w:rsidRPr="008A4D62">
        <w:rPr>
          <w:rFonts w:ascii="Verdana" w:hAnsi="Verdana"/>
          <w:sz w:val="20"/>
          <w:szCs w:val="20"/>
          <w:u w:val="single"/>
        </w:rPr>
        <w:t xml:space="preserve">No se tendrán en cuenta y no se valorarán las páginas que sobrepasen las indicadas como máximo. </w:t>
      </w:r>
    </w:p>
    <w:p w14:paraId="18CEF563" w14:textId="77777777" w:rsidR="008A4D62" w:rsidRPr="008A4D62" w:rsidRDefault="008A4D62" w:rsidP="008A4D62">
      <w:pPr>
        <w:tabs>
          <w:tab w:val="center" w:pos="4252"/>
          <w:tab w:val="right" w:pos="8504"/>
        </w:tabs>
        <w:spacing w:line="240" w:lineRule="auto"/>
        <w:ind w:right="-1"/>
        <w:jc w:val="both"/>
        <w:rPr>
          <w:rFonts w:ascii="Verdana" w:hAnsi="Verdana" w:cs="Helvetica"/>
          <w:sz w:val="20"/>
          <w:szCs w:val="20"/>
        </w:rPr>
      </w:pPr>
      <w:bookmarkStart w:id="11" w:name="_Hlk215744453"/>
      <w:bookmarkEnd w:id="6"/>
      <w:bookmarkEnd w:id="8"/>
      <w:bookmarkEnd w:id="9"/>
      <w:bookmarkEnd w:id="10"/>
    </w:p>
    <w:p w14:paraId="56A89CB9" w14:textId="77777777" w:rsidR="008A4D62" w:rsidRPr="008A4D62" w:rsidRDefault="008A4D62" w:rsidP="008A4D62">
      <w:pPr>
        <w:tabs>
          <w:tab w:val="center" w:pos="4252"/>
          <w:tab w:val="right" w:pos="8504"/>
        </w:tabs>
        <w:spacing w:line="240" w:lineRule="auto"/>
        <w:ind w:right="-1"/>
        <w:jc w:val="both"/>
        <w:rPr>
          <w:rFonts w:ascii="Verdana" w:hAnsi="Verdana"/>
          <w:sz w:val="20"/>
          <w:szCs w:val="20"/>
        </w:rPr>
      </w:pPr>
      <w:r w:rsidRPr="008A4D62">
        <w:rPr>
          <w:rFonts w:ascii="Verdana" w:hAnsi="Verdana" w:cs="Helvetica"/>
          <w:sz w:val="20"/>
          <w:szCs w:val="20"/>
        </w:rPr>
        <w:t xml:space="preserve">En un máximo de </w:t>
      </w:r>
      <w:r w:rsidRPr="008A4D62">
        <w:rPr>
          <w:rFonts w:ascii="Verdana" w:hAnsi="Verdana" w:cs="Helvetica"/>
          <w:sz w:val="20"/>
          <w:szCs w:val="20"/>
          <w:u w:val="single"/>
        </w:rPr>
        <w:t>10 hojas DIN A4</w:t>
      </w:r>
      <w:r w:rsidRPr="008A4D62">
        <w:rPr>
          <w:rFonts w:ascii="Verdana" w:hAnsi="Verdana" w:cs="Helvetica"/>
          <w:sz w:val="20"/>
          <w:szCs w:val="20"/>
        </w:rPr>
        <w:t xml:space="preserve">, las empresas licitadoras deben desarrollar la metodología de trabajo que aplicarán al servicio, desde la recepción del encargo efectuado por parte del CCCB hasta la finalización del servicio subtitulado, los sistemas de control y supervisión de la calidad de la traducción, </w:t>
      </w:r>
      <w:r w:rsidRPr="008A4D62">
        <w:rPr>
          <w:rFonts w:ascii="Verdana" w:hAnsi="Verdana"/>
          <w:sz w:val="20"/>
          <w:szCs w:val="20"/>
        </w:rPr>
        <w:t xml:space="preserve">los sistemas de control y supervisión de la calidad del servicio técnico que la empresa utilizará para la realización de los trabajos de subtitulado. </w:t>
      </w:r>
    </w:p>
    <w:p w14:paraId="1D91432B" w14:textId="77777777" w:rsidR="008A4D62" w:rsidRPr="008A4D62" w:rsidRDefault="008A4D62" w:rsidP="008A4D62">
      <w:pPr>
        <w:spacing w:after="120" w:line="240" w:lineRule="auto"/>
        <w:jc w:val="both"/>
        <w:rPr>
          <w:rFonts w:ascii="Verdana" w:hAnsi="Verdana"/>
          <w:sz w:val="20"/>
          <w:szCs w:val="20"/>
        </w:rPr>
      </w:pPr>
    </w:p>
    <w:p w14:paraId="68CA99EB" w14:textId="77777777" w:rsidR="008A4D62" w:rsidRPr="008A4D62" w:rsidRDefault="008A4D62" w:rsidP="008A4D62">
      <w:pPr>
        <w:spacing w:after="120" w:line="240" w:lineRule="auto"/>
        <w:jc w:val="both"/>
        <w:rPr>
          <w:rFonts w:ascii="Verdana" w:hAnsi="Verdana"/>
          <w:sz w:val="20"/>
          <w:szCs w:val="20"/>
        </w:rPr>
      </w:pPr>
      <w:r w:rsidRPr="008A4D62">
        <w:rPr>
          <w:rFonts w:ascii="Verdana" w:hAnsi="Verdana"/>
          <w:sz w:val="20"/>
          <w:szCs w:val="20"/>
        </w:rPr>
        <w:t>Los aspectos que se tendrán en cuenta para otorgar la puntuación serán:</w:t>
      </w:r>
    </w:p>
    <w:p w14:paraId="3F7FA948" w14:textId="77777777" w:rsidR="008A4D62" w:rsidRPr="008A4D62" w:rsidRDefault="008A4D62" w:rsidP="008A4D62">
      <w:pPr>
        <w:spacing w:after="120" w:line="240" w:lineRule="auto"/>
        <w:jc w:val="both"/>
        <w:rPr>
          <w:rFonts w:ascii="Verdana" w:hAnsi="Verdana"/>
          <w:sz w:val="20"/>
          <w:szCs w:val="20"/>
        </w:rPr>
      </w:pPr>
    </w:p>
    <w:p w14:paraId="1F8E11FD" w14:textId="77777777" w:rsidR="008A4D62" w:rsidRPr="008A4D62" w:rsidRDefault="008A4D62" w:rsidP="008A4D62">
      <w:pPr>
        <w:numPr>
          <w:ilvl w:val="0"/>
          <w:numId w:val="1"/>
        </w:numPr>
        <w:suppressAutoHyphens/>
        <w:autoSpaceDN w:val="0"/>
        <w:spacing w:line="240" w:lineRule="auto"/>
        <w:contextualSpacing/>
        <w:jc w:val="both"/>
        <w:rPr>
          <w:rFonts w:ascii="Verdana" w:hAnsi="Verdana"/>
          <w:sz w:val="20"/>
          <w:szCs w:val="20"/>
        </w:rPr>
      </w:pPr>
      <w:r w:rsidRPr="008A4D62">
        <w:rPr>
          <w:rFonts w:ascii="Verdana" w:hAnsi="Verdana"/>
          <w:sz w:val="20"/>
          <w:szCs w:val="20"/>
        </w:rPr>
        <w:t xml:space="preserve">Con relación al </w:t>
      </w:r>
      <w:r w:rsidRPr="008A4D62">
        <w:rPr>
          <w:rFonts w:ascii="Verdana" w:hAnsi="Verdana"/>
          <w:b/>
          <w:bCs/>
          <w:sz w:val="20"/>
          <w:szCs w:val="20"/>
        </w:rPr>
        <w:t>proceso desde la recepción del encargo hasta la finalización del servicio de subtitulado</w:t>
      </w:r>
      <w:r w:rsidRPr="008A4D62">
        <w:rPr>
          <w:rFonts w:ascii="Verdana" w:hAnsi="Verdana"/>
          <w:sz w:val="20"/>
          <w:szCs w:val="20"/>
        </w:rPr>
        <w:t xml:space="preserve">, se valorará </w:t>
      </w:r>
    </w:p>
    <w:p w14:paraId="2854E0CB" w14:textId="77777777" w:rsidR="008A4D62" w:rsidRPr="008A4D62" w:rsidRDefault="008A4D62" w:rsidP="008A4D62">
      <w:pPr>
        <w:spacing w:line="240" w:lineRule="auto"/>
        <w:ind w:left="720" w:hanging="360"/>
        <w:contextualSpacing/>
        <w:jc w:val="both"/>
        <w:rPr>
          <w:rFonts w:ascii="Verdana" w:hAnsi="Verdana"/>
          <w:sz w:val="20"/>
          <w:szCs w:val="20"/>
        </w:rPr>
      </w:pPr>
    </w:p>
    <w:p w14:paraId="5B4082F8" w14:textId="77777777" w:rsidR="008A4D62" w:rsidRPr="008A4D62" w:rsidRDefault="008A4D62" w:rsidP="008A4D62">
      <w:pPr>
        <w:numPr>
          <w:ilvl w:val="0"/>
          <w:numId w:val="2"/>
        </w:numPr>
        <w:suppressAutoHyphens/>
        <w:autoSpaceDN w:val="0"/>
        <w:spacing w:line="240" w:lineRule="auto"/>
        <w:contextualSpacing/>
        <w:jc w:val="both"/>
        <w:rPr>
          <w:rFonts w:ascii="Verdana" w:hAnsi="Verdana"/>
          <w:sz w:val="20"/>
          <w:szCs w:val="20"/>
        </w:rPr>
      </w:pPr>
      <w:r w:rsidRPr="008A4D62">
        <w:rPr>
          <w:rFonts w:ascii="Verdana" w:hAnsi="Verdana"/>
          <w:sz w:val="20"/>
          <w:szCs w:val="20"/>
        </w:rPr>
        <w:t>el detalle, la claridad y completitud de la propuesta de organización del servicio;</w:t>
      </w:r>
    </w:p>
    <w:p w14:paraId="54ED38E9" w14:textId="77777777" w:rsidR="008A4D62" w:rsidRPr="008A4D62" w:rsidRDefault="008A4D62" w:rsidP="008A4D62">
      <w:pPr>
        <w:numPr>
          <w:ilvl w:val="0"/>
          <w:numId w:val="2"/>
        </w:numPr>
        <w:suppressAutoHyphens/>
        <w:autoSpaceDN w:val="0"/>
        <w:spacing w:line="240" w:lineRule="auto"/>
        <w:contextualSpacing/>
        <w:jc w:val="both"/>
        <w:rPr>
          <w:rFonts w:ascii="Verdana" w:hAnsi="Verdana"/>
          <w:sz w:val="20"/>
          <w:szCs w:val="20"/>
        </w:rPr>
      </w:pPr>
      <w:r w:rsidRPr="008A4D62">
        <w:rPr>
          <w:rFonts w:ascii="Verdana" w:hAnsi="Verdana"/>
          <w:sz w:val="20"/>
          <w:szCs w:val="20"/>
        </w:rPr>
        <w:t xml:space="preserve">la disponibilidad y utilización de un software de gestión de proyectos; </w:t>
      </w:r>
    </w:p>
    <w:p w14:paraId="2BAD342A" w14:textId="77777777" w:rsidR="008A4D62" w:rsidRPr="008A4D62" w:rsidRDefault="008A4D62" w:rsidP="008A4D62">
      <w:pPr>
        <w:numPr>
          <w:ilvl w:val="0"/>
          <w:numId w:val="2"/>
        </w:numPr>
        <w:suppressAutoHyphens/>
        <w:autoSpaceDN w:val="0"/>
        <w:spacing w:line="240" w:lineRule="auto"/>
        <w:contextualSpacing/>
        <w:jc w:val="both"/>
        <w:rPr>
          <w:rFonts w:ascii="Verdana" w:hAnsi="Verdana"/>
          <w:sz w:val="20"/>
          <w:szCs w:val="20"/>
        </w:rPr>
      </w:pPr>
      <w:r w:rsidRPr="008A4D62">
        <w:rPr>
          <w:rFonts w:ascii="Verdana" w:hAnsi="Verdana"/>
          <w:sz w:val="20"/>
          <w:szCs w:val="20"/>
        </w:rPr>
        <w:t>la disponibilidad y utilización de softwares de subtitulación;</w:t>
      </w:r>
    </w:p>
    <w:p w14:paraId="2EB6E9DA" w14:textId="77777777" w:rsidR="008A4D62" w:rsidRPr="008A4D62" w:rsidRDefault="008A4D62" w:rsidP="008A4D62">
      <w:pPr>
        <w:numPr>
          <w:ilvl w:val="0"/>
          <w:numId w:val="2"/>
        </w:numPr>
        <w:suppressAutoHyphens/>
        <w:autoSpaceDN w:val="0"/>
        <w:spacing w:line="240" w:lineRule="auto"/>
        <w:contextualSpacing/>
        <w:jc w:val="both"/>
        <w:rPr>
          <w:rFonts w:ascii="Verdana" w:hAnsi="Verdana"/>
          <w:sz w:val="20"/>
          <w:szCs w:val="20"/>
        </w:rPr>
      </w:pPr>
      <w:r w:rsidRPr="008A4D62">
        <w:rPr>
          <w:rFonts w:ascii="Verdana" w:hAnsi="Verdana"/>
          <w:sz w:val="20"/>
          <w:szCs w:val="20"/>
        </w:rPr>
        <w:t xml:space="preserve">la disponibilidad de protocolos internos y/o libros de estilo propios, tanto relacionados con criterios técnicos de subtitulados como con criterios lingüísticos. </w:t>
      </w:r>
    </w:p>
    <w:p w14:paraId="3A362BAF" w14:textId="77777777" w:rsidR="008A4D62" w:rsidRPr="008A4D62" w:rsidRDefault="008A4D62" w:rsidP="008A4D62">
      <w:pPr>
        <w:spacing w:line="240" w:lineRule="auto"/>
        <w:ind w:left="2136" w:hanging="360"/>
        <w:contextualSpacing/>
        <w:jc w:val="both"/>
        <w:rPr>
          <w:rFonts w:ascii="Verdana" w:hAnsi="Verdana"/>
          <w:sz w:val="20"/>
          <w:szCs w:val="20"/>
          <w:u w:val="single"/>
        </w:rPr>
      </w:pPr>
    </w:p>
    <w:p w14:paraId="4B36AA19" w14:textId="77777777" w:rsidR="008A4D62" w:rsidRPr="008A4D62" w:rsidRDefault="008A4D62" w:rsidP="008A4D62">
      <w:pPr>
        <w:spacing w:line="240" w:lineRule="auto"/>
        <w:contextualSpacing/>
        <w:jc w:val="both"/>
        <w:rPr>
          <w:rFonts w:ascii="Verdana" w:hAnsi="Verdana"/>
          <w:sz w:val="20"/>
          <w:szCs w:val="20"/>
          <w:u w:val="single"/>
        </w:rPr>
      </w:pPr>
      <w:r w:rsidRPr="008A4D62">
        <w:rPr>
          <w:rFonts w:ascii="Verdana" w:hAnsi="Verdana"/>
          <w:sz w:val="20"/>
          <w:szCs w:val="20"/>
          <w:u w:val="single"/>
        </w:rPr>
        <w:t xml:space="preserve">Se otorgará un máximo de 15 puntos. </w:t>
      </w:r>
    </w:p>
    <w:p w14:paraId="0B284C8A" w14:textId="77777777" w:rsidR="008A4D62" w:rsidRPr="008A4D62" w:rsidRDefault="008A4D62" w:rsidP="008A4D62">
      <w:pPr>
        <w:spacing w:line="240" w:lineRule="auto"/>
        <w:ind w:left="720" w:hanging="360"/>
        <w:contextualSpacing/>
        <w:jc w:val="both"/>
        <w:rPr>
          <w:rFonts w:ascii="Verdana" w:hAnsi="Verdana"/>
          <w:sz w:val="20"/>
          <w:szCs w:val="20"/>
        </w:rPr>
      </w:pPr>
    </w:p>
    <w:p w14:paraId="240CFA3D" w14:textId="77777777" w:rsidR="008A4D62" w:rsidRPr="008A4D62" w:rsidRDefault="008A4D62" w:rsidP="008A4D62">
      <w:pPr>
        <w:numPr>
          <w:ilvl w:val="0"/>
          <w:numId w:val="1"/>
        </w:numPr>
        <w:suppressAutoHyphens/>
        <w:autoSpaceDN w:val="0"/>
        <w:spacing w:line="240" w:lineRule="auto"/>
        <w:contextualSpacing/>
        <w:jc w:val="both"/>
        <w:rPr>
          <w:rFonts w:ascii="Verdana" w:hAnsi="Verdana"/>
          <w:sz w:val="20"/>
          <w:szCs w:val="20"/>
        </w:rPr>
      </w:pPr>
      <w:r w:rsidRPr="008A4D62">
        <w:rPr>
          <w:rFonts w:ascii="Verdana" w:hAnsi="Verdana"/>
          <w:sz w:val="20"/>
          <w:szCs w:val="20"/>
        </w:rPr>
        <w:t xml:space="preserve">Con relación a los </w:t>
      </w:r>
      <w:r w:rsidRPr="008A4D62">
        <w:rPr>
          <w:rFonts w:ascii="Verdana" w:hAnsi="Verdana"/>
          <w:b/>
          <w:bCs/>
          <w:sz w:val="20"/>
          <w:szCs w:val="20"/>
        </w:rPr>
        <w:t>sistemas de control y supervisión de la calidad de la traducción</w:t>
      </w:r>
      <w:r w:rsidRPr="008A4D62">
        <w:rPr>
          <w:rFonts w:ascii="Verdana" w:hAnsi="Verdana"/>
          <w:sz w:val="20"/>
          <w:szCs w:val="20"/>
        </w:rPr>
        <w:t xml:space="preserve">, se valorará </w:t>
      </w:r>
    </w:p>
    <w:p w14:paraId="20E8C12A" w14:textId="77777777" w:rsidR="008A4D62" w:rsidRPr="008A4D62" w:rsidRDefault="008A4D62" w:rsidP="008A4D62">
      <w:pPr>
        <w:spacing w:line="240" w:lineRule="auto"/>
        <w:ind w:left="720" w:hanging="360"/>
        <w:contextualSpacing/>
        <w:jc w:val="both"/>
        <w:rPr>
          <w:rFonts w:ascii="Verdana" w:hAnsi="Verdana"/>
          <w:sz w:val="20"/>
          <w:szCs w:val="20"/>
        </w:rPr>
      </w:pPr>
    </w:p>
    <w:p w14:paraId="1C473B48" w14:textId="77777777" w:rsidR="008A4D62" w:rsidRPr="008A4D62" w:rsidRDefault="008A4D62" w:rsidP="008A4D62">
      <w:pPr>
        <w:numPr>
          <w:ilvl w:val="0"/>
          <w:numId w:val="3"/>
        </w:numPr>
        <w:suppressAutoHyphens/>
        <w:autoSpaceDN w:val="0"/>
        <w:spacing w:line="240" w:lineRule="auto"/>
        <w:contextualSpacing/>
        <w:jc w:val="both"/>
        <w:rPr>
          <w:rFonts w:ascii="Verdana" w:hAnsi="Verdana"/>
          <w:sz w:val="20"/>
          <w:szCs w:val="20"/>
        </w:rPr>
      </w:pPr>
      <w:r w:rsidRPr="008A4D62">
        <w:rPr>
          <w:rFonts w:ascii="Verdana" w:hAnsi="Verdana"/>
          <w:sz w:val="20"/>
          <w:szCs w:val="20"/>
        </w:rPr>
        <w:t xml:space="preserve">el detalle, la claridad y completitud de la propuesta; </w:t>
      </w:r>
    </w:p>
    <w:p w14:paraId="73B9F685" w14:textId="77777777" w:rsidR="008A4D62" w:rsidRPr="008A4D62" w:rsidRDefault="008A4D62" w:rsidP="008A4D62">
      <w:pPr>
        <w:numPr>
          <w:ilvl w:val="0"/>
          <w:numId w:val="3"/>
        </w:numPr>
        <w:suppressAutoHyphens/>
        <w:autoSpaceDN w:val="0"/>
        <w:spacing w:line="240" w:lineRule="auto"/>
        <w:contextualSpacing/>
        <w:jc w:val="both"/>
        <w:rPr>
          <w:rFonts w:ascii="Verdana" w:hAnsi="Verdana"/>
          <w:sz w:val="20"/>
          <w:szCs w:val="20"/>
        </w:rPr>
      </w:pPr>
      <w:r w:rsidRPr="008A4D62">
        <w:rPr>
          <w:rFonts w:ascii="Verdana" w:hAnsi="Verdana"/>
          <w:sz w:val="20"/>
          <w:szCs w:val="20"/>
        </w:rPr>
        <w:t>las medidas de control preventivo y correctivo;</w:t>
      </w:r>
    </w:p>
    <w:p w14:paraId="40334374" w14:textId="77777777" w:rsidR="008A4D62" w:rsidRPr="008A4D62" w:rsidRDefault="008A4D62" w:rsidP="008A4D62">
      <w:pPr>
        <w:numPr>
          <w:ilvl w:val="0"/>
          <w:numId w:val="3"/>
        </w:numPr>
        <w:suppressAutoHyphens/>
        <w:autoSpaceDN w:val="0"/>
        <w:spacing w:line="240" w:lineRule="auto"/>
        <w:contextualSpacing/>
        <w:jc w:val="both"/>
        <w:rPr>
          <w:rFonts w:ascii="Verdana" w:hAnsi="Verdana"/>
          <w:sz w:val="20"/>
          <w:szCs w:val="20"/>
        </w:rPr>
      </w:pPr>
      <w:r w:rsidRPr="008A4D62">
        <w:rPr>
          <w:rFonts w:ascii="Verdana" w:hAnsi="Verdana"/>
          <w:sz w:val="20"/>
          <w:szCs w:val="20"/>
        </w:rPr>
        <w:t xml:space="preserve">la naturaleza y el alcance del control y supervisión de la traducción (diferentes tipos de revisiones, </w:t>
      </w:r>
      <w:proofErr w:type="spellStart"/>
      <w:r w:rsidRPr="008A4D62">
        <w:rPr>
          <w:rFonts w:ascii="Verdana" w:hAnsi="Verdana"/>
          <w:sz w:val="20"/>
          <w:szCs w:val="20"/>
        </w:rPr>
        <w:t>p.e</w:t>
      </w:r>
      <w:proofErr w:type="spellEnd"/>
      <w:r w:rsidRPr="008A4D62">
        <w:rPr>
          <w:rFonts w:ascii="Verdana" w:hAnsi="Verdana"/>
          <w:sz w:val="20"/>
          <w:szCs w:val="20"/>
        </w:rPr>
        <w:t xml:space="preserve">. estilística, morfosintáctica, ortográfica) </w:t>
      </w:r>
    </w:p>
    <w:p w14:paraId="09AF8BCA" w14:textId="77777777" w:rsidR="008A4D62" w:rsidRPr="008A4D62" w:rsidRDefault="008A4D62" w:rsidP="008A4D62">
      <w:pPr>
        <w:numPr>
          <w:ilvl w:val="0"/>
          <w:numId w:val="3"/>
        </w:numPr>
        <w:suppressAutoHyphens/>
        <w:autoSpaceDN w:val="0"/>
        <w:spacing w:line="240" w:lineRule="auto"/>
        <w:contextualSpacing/>
        <w:jc w:val="both"/>
        <w:rPr>
          <w:rFonts w:ascii="Verdana" w:hAnsi="Verdana"/>
          <w:sz w:val="20"/>
          <w:szCs w:val="20"/>
        </w:rPr>
      </w:pPr>
      <w:r w:rsidRPr="008A4D62">
        <w:rPr>
          <w:rFonts w:ascii="Verdana" w:hAnsi="Verdana"/>
          <w:sz w:val="20"/>
          <w:szCs w:val="20"/>
        </w:rPr>
        <w:t xml:space="preserve">los mecanismos de evaluación continua (informes, reuniones, </w:t>
      </w:r>
      <w:proofErr w:type="spellStart"/>
      <w:r w:rsidRPr="008A4D62">
        <w:rPr>
          <w:rFonts w:ascii="Verdana" w:hAnsi="Verdana"/>
          <w:sz w:val="20"/>
          <w:szCs w:val="20"/>
        </w:rPr>
        <w:t>etc</w:t>
      </w:r>
      <w:proofErr w:type="spellEnd"/>
      <w:r w:rsidRPr="008A4D62">
        <w:rPr>
          <w:rFonts w:ascii="Verdana" w:hAnsi="Verdana"/>
          <w:sz w:val="20"/>
          <w:szCs w:val="20"/>
        </w:rPr>
        <w:t xml:space="preserve">). </w:t>
      </w:r>
    </w:p>
    <w:p w14:paraId="2E928546" w14:textId="77777777" w:rsidR="008A4D62" w:rsidRPr="008A4D62" w:rsidRDefault="008A4D62" w:rsidP="008A4D62">
      <w:pPr>
        <w:spacing w:line="240" w:lineRule="auto"/>
        <w:ind w:left="643" w:hanging="360"/>
        <w:contextualSpacing/>
        <w:jc w:val="both"/>
        <w:rPr>
          <w:rFonts w:ascii="Verdana" w:hAnsi="Verdana"/>
          <w:sz w:val="20"/>
          <w:szCs w:val="20"/>
          <w:u w:val="single"/>
        </w:rPr>
      </w:pPr>
    </w:p>
    <w:p w14:paraId="460F8D72" w14:textId="77777777" w:rsidR="008A4D62" w:rsidRPr="008A4D62" w:rsidRDefault="008A4D62" w:rsidP="008A4D62">
      <w:pPr>
        <w:spacing w:line="240" w:lineRule="auto"/>
        <w:contextualSpacing/>
        <w:jc w:val="both"/>
        <w:rPr>
          <w:rFonts w:ascii="Verdana" w:hAnsi="Verdana"/>
          <w:sz w:val="20"/>
          <w:szCs w:val="20"/>
          <w:u w:val="single"/>
        </w:rPr>
      </w:pPr>
      <w:r w:rsidRPr="008A4D62">
        <w:rPr>
          <w:rFonts w:ascii="Verdana" w:hAnsi="Verdana"/>
          <w:sz w:val="20"/>
          <w:szCs w:val="20"/>
          <w:u w:val="single"/>
        </w:rPr>
        <w:t xml:space="preserve">Se otorgará un máximo de 15 puntos. </w:t>
      </w:r>
    </w:p>
    <w:p w14:paraId="5DB21F09" w14:textId="77777777" w:rsidR="008A4D62" w:rsidRPr="008A4D62" w:rsidRDefault="008A4D62" w:rsidP="008A4D62">
      <w:pPr>
        <w:spacing w:line="240" w:lineRule="auto"/>
        <w:ind w:left="720" w:hanging="360"/>
        <w:contextualSpacing/>
        <w:jc w:val="both"/>
        <w:rPr>
          <w:rFonts w:ascii="Verdana" w:hAnsi="Verdana"/>
          <w:sz w:val="20"/>
          <w:szCs w:val="20"/>
        </w:rPr>
      </w:pPr>
    </w:p>
    <w:p w14:paraId="155D8732" w14:textId="77777777" w:rsidR="008A4D62" w:rsidRPr="008A4D62" w:rsidRDefault="008A4D62" w:rsidP="008A4D62">
      <w:pPr>
        <w:numPr>
          <w:ilvl w:val="0"/>
          <w:numId w:val="1"/>
        </w:numPr>
        <w:suppressAutoHyphens/>
        <w:autoSpaceDN w:val="0"/>
        <w:spacing w:line="240" w:lineRule="auto"/>
        <w:contextualSpacing/>
        <w:jc w:val="both"/>
        <w:rPr>
          <w:rFonts w:ascii="Verdana" w:hAnsi="Verdana"/>
          <w:sz w:val="20"/>
          <w:szCs w:val="20"/>
        </w:rPr>
      </w:pPr>
      <w:r w:rsidRPr="008A4D62">
        <w:rPr>
          <w:rFonts w:ascii="Verdana" w:hAnsi="Verdana"/>
          <w:sz w:val="20"/>
          <w:szCs w:val="20"/>
        </w:rPr>
        <w:t xml:space="preserve">Con relación a los </w:t>
      </w:r>
      <w:r w:rsidRPr="008A4D62">
        <w:rPr>
          <w:rFonts w:ascii="Verdana" w:hAnsi="Verdana"/>
          <w:b/>
          <w:bCs/>
          <w:sz w:val="20"/>
          <w:szCs w:val="20"/>
        </w:rPr>
        <w:t>sistemas de control y supervisión de la calidad del servicio técnico</w:t>
      </w:r>
      <w:r w:rsidRPr="008A4D62">
        <w:rPr>
          <w:rFonts w:ascii="Verdana" w:hAnsi="Verdana"/>
          <w:sz w:val="20"/>
          <w:szCs w:val="20"/>
        </w:rPr>
        <w:t xml:space="preserve"> que la empresa utilizará para la realización de los trabajos de subtitulado, se valorará </w:t>
      </w:r>
    </w:p>
    <w:p w14:paraId="4018445C" w14:textId="77777777" w:rsidR="008A4D62" w:rsidRPr="008A4D62" w:rsidRDefault="008A4D62" w:rsidP="008A4D62">
      <w:pPr>
        <w:spacing w:line="240" w:lineRule="auto"/>
        <w:ind w:left="720" w:hanging="360"/>
        <w:contextualSpacing/>
        <w:jc w:val="both"/>
        <w:rPr>
          <w:rFonts w:ascii="Verdana" w:hAnsi="Verdana"/>
          <w:sz w:val="20"/>
          <w:szCs w:val="20"/>
        </w:rPr>
      </w:pPr>
    </w:p>
    <w:p w14:paraId="7E0343ED" w14:textId="77777777" w:rsidR="008A4D62" w:rsidRPr="008A4D62" w:rsidRDefault="008A4D62" w:rsidP="008A4D62">
      <w:pPr>
        <w:numPr>
          <w:ilvl w:val="0"/>
          <w:numId w:val="4"/>
        </w:numPr>
        <w:suppressAutoHyphens/>
        <w:autoSpaceDN w:val="0"/>
        <w:spacing w:line="240" w:lineRule="auto"/>
        <w:contextualSpacing/>
        <w:jc w:val="both"/>
        <w:rPr>
          <w:rFonts w:ascii="Verdana" w:hAnsi="Verdana"/>
          <w:sz w:val="20"/>
          <w:szCs w:val="20"/>
        </w:rPr>
      </w:pPr>
      <w:r w:rsidRPr="008A4D62">
        <w:rPr>
          <w:rFonts w:ascii="Verdana" w:hAnsi="Verdana"/>
          <w:sz w:val="20"/>
          <w:szCs w:val="20"/>
        </w:rPr>
        <w:lastRenderedPageBreak/>
        <w:t>el detalle, la claridad y completitud de la propuesta;</w:t>
      </w:r>
    </w:p>
    <w:p w14:paraId="5E51D860" w14:textId="77777777" w:rsidR="008A4D62" w:rsidRPr="008A4D62" w:rsidRDefault="008A4D62" w:rsidP="008A4D62">
      <w:pPr>
        <w:numPr>
          <w:ilvl w:val="0"/>
          <w:numId w:val="4"/>
        </w:numPr>
        <w:suppressAutoHyphens/>
        <w:autoSpaceDN w:val="0"/>
        <w:spacing w:line="240" w:lineRule="auto"/>
        <w:contextualSpacing/>
        <w:jc w:val="both"/>
        <w:rPr>
          <w:rFonts w:ascii="Verdana" w:hAnsi="Verdana"/>
          <w:sz w:val="20"/>
          <w:szCs w:val="20"/>
        </w:rPr>
      </w:pPr>
      <w:r w:rsidRPr="008A4D62">
        <w:rPr>
          <w:rFonts w:ascii="Verdana" w:hAnsi="Verdana"/>
          <w:sz w:val="20"/>
          <w:szCs w:val="20"/>
        </w:rPr>
        <w:t>las medidas de control preventivo y correctivo;</w:t>
      </w:r>
    </w:p>
    <w:p w14:paraId="04E6CFB1" w14:textId="77777777" w:rsidR="008A4D62" w:rsidRPr="008A4D62" w:rsidRDefault="008A4D62" w:rsidP="008A4D62">
      <w:pPr>
        <w:numPr>
          <w:ilvl w:val="0"/>
          <w:numId w:val="4"/>
        </w:numPr>
        <w:suppressAutoHyphens/>
        <w:autoSpaceDN w:val="0"/>
        <w:spacing w:line="240" w:lineRule="auto"/>
        <w:contextualSpacing/>
        <w:jc w:val="both"/>
        <w:rPr>
          <w:rFonts w:ascii="Verdana" w:hAnsi="Verdana"/>
          <w:sz w:val="20"/>
          <w:szCs w:val="20"/>
        </w:rPr>
      </w:pPr>
      <w:r w:rsidRPr="008A4D62">
        <w:rPr>
          <w:rFonts w:ascii="Verdana" w:hAnsi="Verdana"/>
          <w:sz w:val="20"/>
          <w:szCs w:val="20"/>
        </w:rPr>
        <w:t>las medidas de control y supervisión derivadas del uso de software específico para la gestión de los proyectos y para la subtitulación;</w:t>
      </w:r>
    </w:p>
    <w:p w14:paraId="25BA7399" w14:textId="77777777" w:rsidR="008A4D62" w:rsidRPr="008A4D62" w:rsidRDefault="008A4D62" w:rsidP="008A4D62">
      <w:pPr>
        <w:numPr>
          <w:ilvl w:val="0"/>
          <w:numId w:val="4"/>
        </w:numPr>
        <w:suppressAutoHyphens/>
        <w:autoSpaceDN w:val="0"/>
        <w:spacing w:line="240" w:lineRule="auto"/>
        <w:contextualSpacing/>
        <w:jc w:val="both"/>
        <w:rPr>
          <w:rFonts w:ascii="Verdana" w:hAnsi="Verdana"/>
          <w:sz w:val="20"/>
          <w:szCs w:val="20"/>
        </w:rPr>
      </w:pPr>
      <w:r w:rsidRPr="008A4D62">
        <w:rPr>
          <w:rFonts w:ascii="Verdana" w:hAnsi="Verdana"/>
          <w:sz w:val="20"/>
          <w:szCs w:val="20"/>
        </w:rPr>
        <w:t xml:space="preserve">los mecanismos de evaluación continua (informes, reuniones, </w:t>
      </w:r>
      <w:proofErr w:type="spellStart"/>
      <w:r w:rsidRPr="008A4D62">
        <w:rPr>
          <w:rFonts w:ascii="Verdana" w:hAnsi="Verdana"/>
          <w:sz w:val="20"/>
          <w:szCs w:val="20"/>
        </w:rPr>
        <w:t>etc</w:t>
      </w:r>
      <w:proofErr w:type="spellEnd"/>
      <w:r w:rsidRPr="008A4D62">
        <w:rPr>
          <w:rFonts w:ascii="Verdana" w:hAnsi="Verdana"/>
          <w:sz w:val="20"/>
          <w:szCs w:val="20"/>
        </w:rPr>
        <w:t xml:space="preserve">). </w:t>
      </w:r>
    </w:p>
    <w:p w14:paraId="7CF17431" w14:textId="77777777" w:rsidR="008A4D62" w:rsidRPr="008A4D62" w:rsidRDefault="008A4D62" w:rsidP="008A4D62">
      <w:pPr>
        <w:spacing w:line="240" w:lineRule="auto"/>
        <w:ind w:left="643" w:hanging="360"/>
        <w:contextualSpacing/>
        <w:jc w:val="both"/>
        <w:rPr>
          <w:rFonts w:ascii="Verdana" w:hAnsi="Verdana"/>
          <w:sz w:val="20"/>
          <w:szCs w:val="20"/>
          <w:u w:val="single"/>
        </w:rPr>
      </w:pPr>
    </w:p>
    <w:p w14:paraId="5603842B" w14:textId="77777777" w:rsidR="008A4D62" w:rsidRPr="008A4D62" w:rsidRDefault="008A4D62" w:rsidP="008A4D62">
      <w:pPr>
        <w:spacing w:line="240" w:lineRule="auto"/>
        <w:contextualSpacing/>
        <w:jc w:val="both"/>
        <w:rPr>
          <w:rFonts w:ascii="Verdana" w:hAnsi="Verdana"/>
          <w:sz w:val="20"/>
          <w:szCs w:val="20"/>
          <w:u w:val="single"/>
        </w:rPr>
      </w:pPr>
      <w:r w:rsidRPr="008A4D62">
        <w:rPr>
          <w:rFonts w:ascii="Verdana" w:hAnsi="Verdana"/>
          <w:sz w:val="20"/>
          <w:szCs w:val="20"/>
          <w:u w:val="single"/>
        </w:rPr>
        <w:t xml:space="preserve">Se otorgará un máximo de 15 puntos. </w:t>
      </w:r>
    </w:p>
    <w:p w14:paraId="5FF255F0" w14:textId="77777777" w:rsidR="008A4D62" w:rsidRPr="008A4D62" w:rsidRDefault="008A4D62" w:rsidP="008A4D62">
      <w:pPr>
        <w:spacing w:line="240" w:lineRule="auto"/>
        <w:ind w:left="720" w:hanging="360"/>
        <w:contextualSpacing/>
        <w:jc w:val="both"/>
        <w:rPr>
          <w:rFonts w:ascii="Verdana" w:hAnsi="Verdana"/>
          <w:sz w:val="20"/>
          <w:szCs w:val="20"/>
        </w:rPr>
      </w:pPr>
    </w:p>
    <w:bookmarkEnd w:id="0"/>
    <w:bookmarkEnd w:id="1"/>
    <w:bookmarkEnd w:id="2"/>
    <w:bookmarkEnd w:id="3"/>
    <w:bookmarkEnd w:id="4"/>
    <w:bookmarkEnd w:id="5"/>
    <w:bookmarkEnd w:id="11"/>
    <w:p w14:paraId="6ED7BCBD" w14:textId="77777777" w:rsidR="008A4D62" w:rsidRPr="008A4D62" w:rsidRDefault="008A4D62" w:rsidP="008A4D62">
      <w:pPr>
        <w:pBdr>
          <w:top w:val="single" w:sz="4" w:space="1" w:color="auto"/>
          <w:left w:val="single" w:sz="4" w:space="4" w:color="auto"/>
          <w:bottom w:val="single" w:sz="4" w:space="0" w:color="auto"/>
          <w:right w:val="single" w:sz="4" w:space="4" w:color="auto"/>
        </w:pBdr>
        <w:tabs>
          <w:tab w:val="left" w:leader="dot" w:pos="7513"/>
        </w:tabs>
        <w:autoSpaceDE w:val="0"/>
        <w:autoSpaceDN w:val="0"/>
        <w:adjustRightInd w:val="0"/>
        <w:spacing w:line="240" w:lineRule="auto"/>
        <w:jc w:val="center"/>
        <w:rPr>
          <w:rFonts w:ascii="Verdana" w:hAnsi="Verdana" w:cs="Arial"/>
          <w:b/>
          <w:sz w:val="20"/>
          <w:szCs w:val="20"/>
          <w:lang w:eastAsia="es-ES_tradnl"/>
        </w:rPr>
      </w:pPr>
      <w:r w:rsidRPr="008A4D62">
        <w:rPr>
          <w:rFonts w:ascii="Verdana" w:hAnsi="Verdana" w:cs="Arial"/>
          <w:b/>
          <w:sz w:val="20"/>
          <w:szCs w:val="20"/>
          <w:lang w:eastAsia="es-ES_tradnl"/>
        </w:rPr>
        <w:t>ADVERTENCIA</w:t>
      </w:r>
    </w:p>
    <w:p w14:paraId="657095B8" w14:textId="77777777" w:rsidR="008A4D62" w:rsidRPr="008A4D62" w:rsidRDefault="008A4D62" w:rsidP="008A4D62">
      <w:pPr>
        <w:pBdr>
          <w:top w:val="single" w:sz="4" w:space="1" w:color="auto"/>
          <w:left w:val="single" w:sz="4" w:space="4" w:color="auto"/>
          <w:bottom w:val="single" w:sz="4" w:space="0" w:color="auto"/>
          <w:right w:val="single" w:sz="4" w:space="4" w:color="auto"/>
        </w:pBdr>
        <w:tabs>
          <w:tab w:val="left" w:leader="dot" w:pos="7513"/>
        </w:tabs>
        <w:autoSpaceDE w:val="0"/>
        <w:autoSpaceDN w:val="0"/>
        <w:adjustRightInd w:val="0"/>
        <w:spacing w:line="240" w:lineRule="auto"/>
        <w:jc w:val="both"/>
        <w:rPr>
          <w:rFonts w:ascii="Verdana" w:hAnsi="Verdana" w:cs="Arial"/>
          <w:sz w:val="20"/>
          <w:szCs w:val="20"/>
          <w:lang w:eastAsia="es-ES_tradnl"/>
        </w:rPr>
      </w:pPr>
      <w:r w:rsidRPr="008A4D62">
        <w:rPr>
          <w:rFonts w:ascii="Verdana" w:hAnsi="Verdana" w:cs="Arial"/>
          <w:sz w:val="20"/>
          <w:szCs w:val="20"/>
          <w:lang w:eastAsia="es-ES_tradnl"/>
        </w:rPr>
        <w:t>La memoria metodológica contenida en el sobre B no puede incluir ninguna información que permita conocer el contenido del sobre C, relativo a los criterios evaluables de forma automática. El incumplimiento de esta obligación puede implicar la exclusión de la licitación.</w:t>
      </w:r>
    </w:p>
    <w:p w14:paraId="2B2CA5D0" w14:textId="77777777" w:rsidR="008A4D62" w:rsidRPr="008A4D62" w:rsidRDefault="008A4D62" w:rsidP="008A4D62">
      <w:pPr>
        <w:pBdr>
          <w:top w:val="single" w:sz="4" w:space="1" w:color="auto"/>
          <w:left w:val="single" w:sz="4" w:space="4" w:color="auto"/>
          <w:bottom w:val="single" w:sz="4" w:space="0" w:color="auto"/>
          <w:right w:val="single" w:sz="4" w:space="4" w:color="auto"/>
        </w:pBdr>
        <w:tabs>
          <w:tab w:val="left" w:leader="dot" w:pos="7513"/>
        </w:tabs>
        <w:autoSpaceDE w:val="0"/>
        <w:autoSpaceDN w:val="0"/>
        <w:adjustRightInd w:val="0"/>
        <w:spacing w:line="240" w:lineRule="auto"/>
        <w:jc w:val="both"/>
        <w:rPr>
          <w:rFonts w:ascii="Verdana" w:hAnsi="Verdana" w:cs="Arial"/>
          <w:sz w:val="20"/>
          <w:szCs w:val="20"/>
          <w:lang w:eastAsia="es-ES_tradnl"/>
        </w:rPr>
      </w:pPr>
    </w:p>
    <w:p w14:paraId="6AE1DA9A" w14:textId="77777777" w:rsidR="008A4D62" w:rsidRPr="008A4D62" w:rsidRDefault="008A4D62" w:rsidP="008A4D62">
      <w:pPr>
        <w:tabs>
          <w:tab w:val="left" w:pos="1463"/>
        </w:tabs>
        <w:autoSpaceDE w:val="0"/>
        <w:autoSpaceDN w:val="0"/>
        <w:adjustRightInd w:val="0"/>
        <w:spacing w:line="240" w:lineRule="auto"/>
        <w:jc w:val="both"/>
        <w:rPr>
          <w:rFonts w:ascii="Verdana" w:hAnsi="Verdana" w:cs="Helvetica"/>
          <w:sz w:val="20"/>
          <w:szCs w:val="20"/>
          <w:u w:val="single"/>
        </w:rPr>
      </w:pPr>
    </w:p>
    <w:p w14:paraId="758C2F11" w14:textId="77777777" w:rsidR="008A4D62" w:rsidRPr="008A4D62" w:rsidRDefault="008A4D62" w:rsidP="008A4D62">
      <w:pPr>
        <w:pBdr>
          <w:top w:val="single" w:sz="4" w:space="1" w:color="auto"/>
          <w:left w:val="single" w:sz="4" w:space="4" w:color="auto"/>
          <w:bottom w:val="single" w:sz="4" w:space="1" w:color="auto"/>
          <w:right w:val="single" w:sz="4" w:space="4" w:color="auto"/>
        </w:pBdr>
        <w:spacing w:after="120" w:line="240" w:lineRule="auto"/>
        <w:jc w:val="both"/>
        <w:rPr>
          <w:rFonts w:ascii="Verdana" w:hAnsi="Verdana"/>
          <w:b/>
          <w:bCs/>
          <w:sz w:val="20"/>
          <w:szCs w:val="20"/>
        </w:rPr>
      </w:pPr>
      <w:bookmarkStart w:id="12" w:name="_Hlk180426666"/>
      <w:r w:rsidRPr="008A4D62">
        <w:rPr>
          <w:rFonts w:ascii="Verdana" w:hAnsi="Verdana"/>
          <w:b/>
          <w:bCs/>
          <w:sz w:val="20"/>
          <w:szCs w:val="20"/>
        </w:rPr>
        <w:t xml:space="preserve">Las empresas que no obtengan un mínimo del 50% de la puntuación del criterio 1 quedarán excluidas de la licitación. </w:t>
      </w:r>
    </w:p>
    <w:bookmarkEnd w:id="12"/>
    <w:p w14:paraId="2D4716A9" w14:textId="77777777" w:rsidR="00CB0329" w:rsidRDefault="00CB0329"/>
    <w:sectPr w:rsidR="00CB03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0A41"/>
    <w:multiLevelType w:val="multilevel"/>
    <w:tmpl w:val="40940058"/>
    <w:lvl w:ilvl="0">
      <w:numFmt w:val="bullet"/>
      <w:lvlText w:val=""/>
      <w:lvlJc w:val="left"/>
      <w:pPr>
        <w:ind w:left="2136" w:hanging="360"/>
      </w:pPr>
      <w:rPr>
        <w:rFonts w:ascii="Wingdings" w:hAnsi="Wingdings"/>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1" w15:restartNumberingAfterBreak="0">
    <w:nsid w:val="244B0217"/>
    <w:multiLevelType w:val="multilevel"/>
    <w:tmpl w:val="C5A614D4"/>
    <w:lvl w:ilvl="0">
      <w:numFmt w:val="bullet"/>
      <w:lvlText w:val=""/>
      <w:lvlJc w:val="left"/>
      <w:pPr>
        <w:ind w:left="2136" w:hanging="360"/>
      </w:pPr>
      <w:rPr>
        <w:rFonts w:ascii="Wingdings" w:hAnsi="Wingdings"/>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2" w15:restartNumberingAfterBreak="0">
    <w:nsid w:val="3069616B"/>
    <w:multiLevelType w:val="multilevel"/>
    <w:tmpl w:val="1F3A5C76"/>
    <w:lvl w:ilvl="0">
      <w:numFmt w:val="bullet"/>
      <w:lvlText w:val=""/>
      <w:lvlJc w:val="left"/>
      <w:pPr>
        <w:ind w:left="2136" w:hanging="360"/>
      </w:pPr>
      <w:rPr>
        <w:rFonts w:ascii="Wingdings" w:hAnsi="Wingdings"/>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3" w15:restartNumberingAfterBreak="0">
    <w:nsid w:val="536C1158"/>
    <w:multiLevelType w:val="multilevel"/>
    <w:tmpl w:val="0CB4B97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48816694">
    <w:abstractNumId w:val="3"/>
  </w:num>
  <w:num w:numId="2" w16cid:durableId="1148092187">
    <w:abstractNumId w:val="2"/>
  </w:num>
  <w:num w:numId="3" w16cid:durableId="2038113282">
    <w:abstractNumId w:val="1"/>
  </w:num>
  <w:num w:numId="4" w16cid:durableId="46150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62"/>
    <w:rsid w:val="00200470"/>
    <w:rsid w:val="002545B4"/>
    <w:rsid w:val="004A43F0"/>
    <w:rsid w:val="008A4D62"/>
    <w:rsid w:val="00CB03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50E0"/>
  <w15:chartTrackingRefBased/>
  <w15:docId w15:val="{74FC542B-85B1-4039-BF15-44CEB6B3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4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4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4D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4D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4D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4D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4D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4D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4D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4D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4D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4D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4D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4D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4D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4D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4D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4D62"/>
    <w:rPr>
      <w:rFonts w:eastAsiaTheme="majorEastAsia" w:cstheme="majorBidi"/>
      <w:color w:val="272727" w:themeColor="text1" w:themeTint="D8"/>
    </w:rPr>
  </w:style>
  <w:style w:type="paragraph" w:styleId="Ttulo">
    <w:name w:val="Title"/>
    <w:basedOn w:val="Normal"/>
    <w:next w:val="Normal"/>
    <w:link w:val="TtuloCar"/>
    <w:uiPriority w:val="10"/>
    <w:qFormat/>
    <w:rsid w:val="008A4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4D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4D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4D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4D62"/>
    <w:pPr>
      <w:spacing w:before="160"/>
      <w:jc w:val="center"/>
    </w:pPr>
    <w:rPr>
      <w:i/>
      <w:iCs/>
      <w:color w:val="404040" w:themeColor="text1" w:themeTint="BF"/>
    </w:rPr>
  </w:style>
  <w:style w:type="character" w:customStyle="1" w:styleId="CitaCar">
    <w:name w:val="Cita Car"/>
    <w:basedOn w:val="Fuentedeprrafopredeter"/>
    <w:link w:val="Cita"/>
    <w:uiPriority w:val="29"/>
    <w:rsid w:val="008A4D62"/>
    <w:rPr>
      <w:i/>
      <w:iCs/>
      <w:color w:val="404040" w:themeColor="text1" w:themeTint="BF"/>
    </w:rPr>
  </w:style>
  <w:style w:type="paragraph" w:styleId="Prrafodelista">
    <w:name w:val="List Paragraph"/>
    <w:basedOn w:val="Normal"/>
    <w:uiPriority w:val="34"/>
    <w:qFormat/>
    <w:rsid w:val="008A4D62"/>
    <w:pPr>
      <w:ind w:left="720"/>
      <w:contextualSpacing/>
    </w:pPr>
  </w:style>
  <w:style w:type="character" w:styleId="nfasisintenso">
    <w:name w:val="Intense Emphasis"/>
    <w:basedOn w:val="Fuentedeprrafopredeter"/>
    <w:uiPriority w:val="21"/>
    <w:qFormat/>
    <w:rsid w:val="008A4D62"/>
    <w:rPr>
      <w:i/>
      <w:iCs/>
      <w:color w:val="0F4761" w:themeColor="accent1" w:themeShade="BF"/>
    </w:rPr>
  </w:style>
  <w:style w:type="paragraph" w:styleId="Citadestacada">
    <w:name w:val="Intense Quote"/>
    <w:basedOn w:val="Normal"/>
    <w:next w:val="Normal"/>
    <w:link w:val="CitadestacadaCar"/>
    <w:uiPriority w:val="30"/>
    <w:qFormat/>
    <w:rsid w:val="008A4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4D62"/>
    <w:rPr>
      <w:i/>
      <w:iCs/>
      <w:color w:val="0F4761" w:themeColor="accent1" w:themeShade="BF"/>
    </w:rPr>
  </w:style>
  <w:style w:type="character" w:styleId="Referenciaintensa">
    <w:name w:val="Intense Reference"/>
    <w:basedOn w:val="Fuentedeprrafopredeter"/>
    <w:uiPriority w:val="32"/>
    <w:qFormat/>
    <w:rsid w:val="008A4D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2469</Characters>
  <Application>Microsoft Office Word</Application>
  <DocSecurity>0</DocSecurity>
  <Lines>82</Lines>
  <Paragraphs>33</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1</cp:revision>
  <dcterms:created xsi:type="dcterms:W3CDTF">2026-01-27T10:47:00Z</dcterms:created>
  <dcterms:modified xsi:type="dcterms:W3CDTF">2026-01-27T10:48:00Z</dcterms:modified>
</cp:coreProperties>
</file>