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...":</w:t>
      </w:r>
    </w:p>
    <w:p>
      <w:pPr>
        <w:pStyle w:val="Normal"/>
        <w:numPr>
          <w:ilvl w:val="0"/>
          <w:numId w:val="1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 w:val="false"/>
          <w:i w:val="false"/>
          <w:iCs w:val="false"/>
          <w:sz w:val="22"/>
          <w:szCs w:val="22"/>
          <w:shd w:fill="auto" w:val="clear"/>
        </w:rPr>
      </w:pPr>
      <w:r>
        <w:rPr>
          <w:rFonts w:cs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A</w:t>
      </w:r>
      <w:r>
        <w:rPr>
          <w:rFonts w:cs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cs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cs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econòmic</w:t>
      </w:r>
      <w:r>
        <w:rPr>
          <w:rFonts w:cs="Arial"/>
          <w:b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>a</w:t>
      </w:r>
    </w:p>
    <w:p>
      <w:pPr>
        <w:pStyle w:val="Normal"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pBdr/>
        <w:jc w:val="both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un ...............% de baixa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lineal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única per al conjunt de productes detallats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al punt E del PCAP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i 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l’annex I del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PPT. 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MT" w:hAnsi="ArialMT"/>
          <w:b w:val="false"/>
          <w:bCs w:val="false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, l’oferta serà exclosa.</w:t>
      </w:r>
    </w:p>
    <w:p>
      <w:pPr>
        <w:pStyle w:val="Standard"/>
        <w:pBdr/>
        <w:spacing w:lineRule="auto" w:line="276" w:before="57" w:after="12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MT" w:hAnsi="ArialMT"/>
          <w:b w:val="false"/>
          <w:bCs w:val="false"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** Si s’excedeix la quantia del pressupost base de licitació sense IVA, l’oferta serà exclosa</w:t>
      </w:r>
      <w:r>
        <w:rPr>
          <w:rFonts w:eastAsia="Arial" w:cs="Arial" w:ascii="ArialMT" w:hAnsi="ArialMT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  <w:shd w:fill="auto" w:val="clear"/>
          <w:lang w:val="ca-ES"/>
        </w:rPr>
        <w:t>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  <w:shd w:fill="auto" w:val="clear"/>
        </w:rPr>
      </w:pPr>
      <w:r>
        <w:rPr>
          <w:rFonts w:ascii="Arial" w:hAnsi="Arial"/>
          <w:b/>
          <w:bCs/>
          <w:sz w:val="22"/>
          <w:szCs w:val="22"/>
          <w:u w:val="none"/>
          <w:shd w:fill="auto" w:val="clear"/>
        </w:rPr>
        <w:t>B</w:t>
      </w:r>
      <w:r>
        <w:rPr>
          <w:rFonts w:ascii="Arial" w:hAnsi="Arial"/>
          <w:b/>
          <w:bCs/>
          <w:sz w:val="22"/>
          <w:szCs w:val="22"/>
          <w:u w:val="none"/>
          <w:shd w:fill="auto" w:val="clear"/>
        </w:rPr>
        <w:t>)</w:t>
      </w:r>
      <w:r>
        <w:rPr>
          <w:rFonts w:ascii="Arial" w:hAnsi="Arial"/>
          <w:b/>
          <w:bCs/>
          <w:sz w:val="22"/>
          <w:szCs w:val="22"/>
          <w:u w:val="none"/>
          <w:shd w:fill="auto" w:val="clear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Oferta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logística</w:t>
      </w:r>
    </w:p>
    <w:p>
      <w:pPr>
        <w:pStyle w:val="BodyText"/>
        <w:pBdr/>
        <w:rPr/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B.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1 Disponibilitat dels materials en un temps màxim.</w:t>
      </w: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bidi="ar-SA"/>
        </w:rPr>
        <w:t xml:space="preserve">            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S’oferta un termini d’entrega inferior a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6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hor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es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hàbils.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S’oferta un termini d’entrega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entre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7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hor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es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hàbils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i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2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3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hores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hàbils.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S’oferta un termini d’entrega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entre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24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hores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hàbils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i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4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7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hores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hàbils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S’oferta un termini d’entrega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entre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48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hores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hàbils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i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7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1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hores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hàbils</w:t>
      </w:r>
    </w:p>
    <w:p>
      <w:pPr>
        <w:pStyle w:val="BodyText"/>
        <w:pBdr/>
        <w:jc w:val="both"/>
        <w:rPr>
          <w:rFonts w:eastAsia="Times New Roman" w:cs="Arial"/>
          <w:color w:val="auto"/>
          <w:spacing w:val="0"/>
          <w:shd w:fill="auto" w:val="clear"/>
          <w:lang w:val="ca-ES" w:eastAsia="zxx" w:bidi="ar-SA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pBdr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B.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2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 </w:t>
      </w:r>
      <w:r>
        <w:rPr>
          <w:rStyle w:val="Fuentedeprrafopredeter"/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>Proximitat dels materials en un radi màxim.</w:t>
      </w:r>
    </w:p>
    <w:p>
      <w:pPr>
        <w:pStyle w:val="BodyText"/>
        <w:pBdr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Fuentedeprrafopredeter"/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El local de l’empresa licitadora, on es troben emmagatzemats els materials a subministrar, es troben a una distància de: 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Fins a 3 km de les dependències municipals del parc Firal (carrer Londres cantonada, Av. Europa de Granollers). 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4 km i 10 km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 de les dependències municipals del parc Firal (carrer Londres cantonada, Av. Europa de Granollers). 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11 km i 17 km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 de les dependències municipals del parc Firal (carrer Londres cantonada, Av. Europa de Granollers). 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18 km i 25 km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 de les dependències municipals del parc Firal (carrer Londres cantonada, Av. Europa de Granollers). </w:t>
      </w: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bidi="ar-SA"/>
        </w:rPr>
        <w:tab/>
      </w:r>
    </w:p>
    <w:p>
      <w:pPr>
        <w:pStyle w:val="BodyText"/>
        <w:pBdr/>
        <w:rPr/>
      </w:pPr>
      <w:r>
        <w:rPr>
          <w:rStyle w:val="Fuentedeprrafopredeter"/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>C</w:t>
      </w:r>
      <w:r>
        <w:rPr>
          <w:rStyle w:val="Fuentedeprrafopredeter"/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>)</w:t>
      </w:r>
      <w:r>
        <w:rPr>
          <w:rStyle w:val="Fuentedeprrafopredeter"/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 </w:t>
      </w:r>
      <w:r>
        <w:rPr>
          <w:rStyle w:val="Fuentedeprrafopredeter"/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>Millora ambiental.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S’oferta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un vehicle amb distintiu ambiental 0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S’oferta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un vehicle amb distintiu ambiental ECO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 xml:space="preserve">S’oferta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un vehicle amb distintiu ambiental C</w:t>
      </w:r>
    </w:p>
    <w:p>
      <w:pPr>
        <w:pStyle w:val="BodyText"/>
        <w:pBdr/>
        <w:rPr/>
      </w:pPr>
      <w:r>
        <w:rPr>
          <w:rStyle w:val="Fuentedeprrafopredeter"/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Style w:val="Fuentedeprrafopredeter"/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 </w:t>
      </w:r>
      <w:r>
        <w:rPr>
          <w:rStyle w:val="Fuentedeprrafopredeter"/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S’oferta </w:t>
      </w:r>
      <w:r>
        <w:rPr>
          <w:rStyle w:val="Fuentedeprrafopredeter"/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>un vehicle amb distintiu ambiental B</w:t>
      </w:r>
    </w:p>
    <w:p>
      <w:pPr>
        <w:pStyle w:val="TOC1"/>
        <w:numPr>
          <w:ilvl w:val="0"/>
          <w:numId w:val="5"/>
        </w:numPr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6"/>
        </w:numPr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7"/>
        </w:numPr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8"/>
        </w:numPr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9"/>
        </w:numPr>
        <w:spacing w:lineRule="auto" w:line="276"/>
        <w:jc w:val="both"/>
        <w:rPr>
          <w:rFonts w:eastAsia="Times New Roman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 w:eastAsia="zh-CN" w:bidi="hi-IN"/>
        </w:rPr>
      </w:pPr>
      <w:r>
        <w:rPr>
          <w:rFonts w:eastAsia="Arial" w:cs="Arial"/>
          <w:b w:val="false"/>
          <w:bCs w:val="false"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624" w:hanging="624"/>
        </w:pPr>
        <w:rPr>
          <w:color w:val="auto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</w:num>
  <w:num w:numId="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624" w:hanging="624"/>
        </w:pPr>
        <w:rPr>
          <w:color w:val="auto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</w:num>
  <w:num w:numId="7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624" w:hanging="624"/>
        </w:pPr>
        <w:rPr>
          <w:color w:val="auto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</w:num>
  <w:num w:numId="8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624" w:hanging="624"/>
        </w:pPr>
        <w:rPr>
          <w:color w:val="auto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</w:num>
  <w:num w:numId="9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624" w:hanging="624"/>
        </w:pPr>
        <w:rPr>
          <w:color w:val="auto"/>
        </w:rPr>
      </w:lvl>
    </w:lvlOverride>
    <w:lvlOverride w:ilvl="0">
      <w:startOverride w:val="1"/>
    </w:lvlOverride>
    <w:lvlOverride w:ilvl="1">
      <w:lvl w:ilvl="1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1">
      <w:startOverride w:val="1"/>
    </w:lvlOverride>
    <w:lvlOverride w:ilvl="2">
      <w:lvl w:ilvl="2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85"/>
          </w:tabs>
          <w:ind w:left="1026" w:hanging="969"/>
        </w:pPr>
        <w:rPr>
          <w:rFonts w:ascii="Symbol" w:hAnsi="Symbol" w:cs="Symbol" w:hint="default"/>
          <w:color w:val="auto"/>
        </w:rPr>
      </w:lvl>
    </w:lvlOverride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LibreOffice/24.8.5.2$Windows_X86_64 LibreOffice_project/fddf2685c70b461e7832239a0162a77216259f22</Application>
  <AppVersion>15.0000</AppVersion>
  <Pages>2</Pages>
  <Words>358</Words>
  <Characters>2074</Characters>
  <CharactersWithSpaces>2431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2026-01-27T11:13:59Z</dcterms:modified>
  <cp:revision>27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