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733" w:rsidRDefault="00654733" w:rsidP="00654733">
      <w:pPr>
        <w:suppressAutoHyphens w:val="0"/>
        <w:spacing w:after="0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2-LOT 1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54733" w:rsidRDefault="00654733" w:rsidP="00654733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654733" w:rsidRDefault="00654733" w:rsidP="00654733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</w:t>
      </w:r>
      <w:r w:rsidRPr="007330BF">
        <w:rPr>
          <w:rFonts w:ascii="Arial" w:hAnsi="Arial" w:cs="Arial"/>
          <w:sz w:val="22"/>
        </w:rPr>
        <w:t>del servei de manteniment de 18 desfibril·ladors semiautomàtics i el servei de formació del personal municipal en la utilització dels mateixos  (SAB_2025000084)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654733" w:rsidRDefault="00654733" w:rsidP="00654733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54733" w:rsidRDefault="00654733" w:rsidP="00654733">
      <w:pPr>
        <w:widowControl w:val="0"/>
        <w:spacing w:after="0"/>
        <w:jc w:val="both"/>
        <w:rPr>
          <w:rFonts w:ascii="Arial" w:hAnsi="Arial" w:cs="Arial"/>
          <w:sz w:val="22"/>
        </w:rPr>
      </w:pPr>
      <w:bookmarkStart w:id="0" w:name="_GoBack"/>
      <w:bookmarkEnd w:id="0"/>
    </w:p>
    <w:tbl>
      <w:tblPr>
        <w:tblW w:w="11346" w:type="dxa"/>
        <w:tblInd w:w="-1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33"/>
        <w:gridCol w:w="827"/>
        <w:gridCol w:w="708"/>
        <w:gridCol w:w="851"/>
        <w:gridCol w:w="850"/>
        <w:gridCol w:w="851"/>
        <w:gridCol w:w="966"/>
        <w:gridCol w:w="1018"/>
        <w:gridCol w:w="993"/>
        <w:gridCol w:w="1422"/>
      </w:tblGrid>
      <w:tr w:rsidR="00654733" w:rsidRPr="000F146D" w:rsidTr="00654733">
        <w:trPr>
          <w:trHeight w:val="312"/>
        </w:trPr>
        <w:tc>
          <w:tcPr>
            <w:tcW w:w="11346" w:type="dxa"/>
            <w:gridSpan w:val="11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C6E0B4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2026 - 2029</w:t>
            </w: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A3238E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A3238E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A3238E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236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PREVENTIU</w:t>
            </w:r>
          </w:p>
        </w:tc>
        <w:tc>
          <w:tcPr>
            <w:tcW w:w="3828" w:type="dxa"/>
            <w:gridSpan w:val="4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CORRECTIU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</w:tr>
      <w:tr w:rsidR="00654733" w:rsidRPr="000F146D" w:rsidTr="00654733">
        <w:trPr>
          <w:trHeight w:val="696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NºDEAS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2027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2029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TOTAL </w:t>
            </w: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preventiu</w:t>
            </w:r>
            <w:proofErr w:type="spellEnd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 + </w:t>
            </w: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correctiu</w:t>
            </w:r>
            <w:proofErr w:type="spellEnd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 (2026-</w:t>
            </w:r>
            <w:proofErr w:type="gram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2029)IVA</w:t>
            </w:r>
            <w:proofErr w:type="gramEnd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exclòs</w:t>
            </w:r>
            <w:proofErr w:type="spellEnd"/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Poliesportiu</w:t>
            </w:r>
            <w:proofErr w:type="spellEnd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 Ricart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E15B0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E15B0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E15B0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6E1E2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Biblioteca Ricart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6E1E2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Biblioteca Font Mina</w:t>
            </w:r>
          </w:p>
        </w:tc>
        <w:tc>
          <w:tcPr>
            <w:tcW w:w="73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Mercat</w:t>
            </w:r>
            <w:proofErr w:type="spellEnd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 municipal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6E1E2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Ajuntament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6E1E2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Policia</w:t>
            </w:r>
            <w:proofErr w:type="spellEnd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 Local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6E1E2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Casal de Cultura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6E1E2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Poliesportiu</w:t>
            </w:r>
            <w:proofErr w:type="spellEnd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 Marina </w:t>
            </w: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Besòs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6E1E2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Zona </w:t>
            </w: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esportiva</w:t>
            </w:r>
            <w:proofErr w:type="spellEnd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 La Mina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6E1E2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Camps de futbol </w:t>
            </w: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Besòs</w:t>
            </w:r>
            <w:proofErr w:type="spellEnd"/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6E1E2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Camp José Ruiz Casado</w:t>
            </w:r>
          </w:p>
        </w:tc>
        <w:tc>
          <w:tcPr>
            <w:tcW w:w="73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</w:tr>
      <w:tr w:rsidR="00654733" w:rsidRPr="000F146D" w:rsidTr="00654733">
        <w:trPr>
          <w:trHeight w:val="464"/>
        </w:trPr>
        <w:tc>
          <w:tcPr>
            <w:tcW w:w="21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AV </w:t>
            </w: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Protecció</w:t>
            </w:r>
            <w:proofErr w:type="spellEnd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 Civil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6E1E2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464"/>
        </w:trPr>
        <w:tc>
          <w:tcPr>
            <w:tcW w:w="21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MHIC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B6472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D42859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6E1E2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Casal </w:t>
            </w: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cívic</w:t>
            </w:r>
            <w:proofErr w:type="spellEnd"/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 xml:space="preserve"> La Catalana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33236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33236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33236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33236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33236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33236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33236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33236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332363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TOTAL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  <w:t>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5C60C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5C60C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5C60C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5C60C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5C60C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5C60C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5C60C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5C60CF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00B050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</w:tr>
      <w:tr w:rsidR="00654733" w:rsidRPr="000F146D" w:rsidTr="00654733">
        <w:trPr>
          <w:trHeight w:val="6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</w:pPr>
            <w:proofErr w:type="gramStart"/>
            <w:r w:rsidRPr="000F146D"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  <w:t>TOTAL  PREVENTIU</w:t>
            </w:r>
            <w:proofErr w:type="gramEnd"/>
            <w:r w:rsidRPr="000F146D"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  <w:t xml:space="preserve"> (2026-2029)IVA </w:t>
            </w: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  <w:t>exclòs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  <w:t>TOTAL CORRECTIU (2026-</w:t>
            </w:r>
            <w:proofErr w:type="gramStart"/>
            <w:r w:rsidRPr="000F146D"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  <w:t>2029)IVA</w:t>
            </w:r>
            <w:proofErr w:type="gramEnd"/>
            <w:r w:rsidRPr="000F146D"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F146D"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  <w:t>exclòs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auto"/>
                <w:kern w:val="0"/>
                <w:sz w:val="18"/>
                <w:szCs w:val="18"/>
                <w:lang w:val="es-ES" w:eastAsia="es-ES"/>
              </w:rPr>
            </w:pPr>
          </w:p>
        </w:tc>
      </w:tr>
      <w:tr w:rsidR="00654733" w:rsidRPr="000F146D" w:rsidTr="00654733">
        <w:trPr>
          <w:trHeight w:val="69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 xml:space="preserve">TOTAL </w:t>
            </w:r>
            <w:proofErr w:type="spellStart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>preventiu</w:t>
            </w:r>
            <w:proofErr w:type="spellEnd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 xml:space="preserve"> + </w:t>
            </w:r>
            <w:proofErr w:type="spellStart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>correctiu</w:t>
            </w:r>
            <w:proofErr w:type="spellEnd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 xml:space="preserve"> (2026-</w:t>
            </w:r>
            <w:proofErr w:type="gramStart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>2029)IVA</w:t>
            </w:r>
            <w:proofErr w:type="gramEnd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>exclòs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D1718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  <w:tr w:rsidR="00654733" w:rsidRPr="000F146D" w:rsidTr="00654733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>IVA 21%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 xml:space="preserve">€ </w:t>
            </w:r>
          </w:p>
        </w:tc>
      </w:tr>
      <w:tr w:rsidR="00654733" w:rsidRPr="000F146D" w:rsidTr="00654733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gramStart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>TOTAL</w:t>
            </w:r>
            <w:proofErr w:type="gramEnd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>preventiu</w:t>
            </w:r>
            <w:proofErr w:type="spellEnd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 xml:space="preserve"> + </w:t>
            </w:r>
            <w:proofErr w:type="spellStart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>correctiu</w:t>
            </w:r>
            <w:proofErr w:type="spellEnd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 xml:space="preserve"> (2026-2029) IVA </w:t>
            </w:r>
            <w:proofErr w:type="spellStart"/>
            <w:r w:rsidRPr="000F146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  <w:t>inclòs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654733" w:rsidRPr="000F146D" w:rsidRDefault="00654733" w:rsidP="00E23F39">
            <w:pPr>
              <w:suppressAutoHyphens w:val="0"/>
              <w:spacing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FD1718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val="es-ES" w:eastAsia="es-ES"/>
              </w:rPr>
              <w:t>€</w:t>
            </w:r>
          </w:p>
        </w:tc>
      </w:tr>
    </w:tbl>
    <w:p w:rsidR="00654733" w:rsidRPr="000F146D" w:rsidRDefault="00654733" w:rsidP="00654733">
      <w:pPr>
        <w:widowControl w:val="0"/>
        <w:spacing w:after="0"/>
        <w:ind w:left="-1134"/>
        <w:jc w:val="both"/>
        <w:rPr>
          <w:rFonts w:ascii="Arial" w:hAnsi="Arial" w:cs="Arial"/>
          <w:sz w:val="22"/>
        </w:rPr>
      </w:pPr>
    </w:p>
    <w:p w:rsidR="00654733" w:rsidRDefault="00654733" w:rsidP="00654733">
      <w:pPr>
        <w:widowControl w:val="0"/>
        <w:spacing w:after="0"/>
        <w:jc w:val="both"/>
        <w:rPr>
          <w:rFonts w:ascii="Arial" w:hAnsi="Arial" w:cs="Arial"/>
          <w:i/>
          <w:sz w:val="22"/>
        </w:rPr>
      </w:pPr>
    </w:p>
    <w:p w:rsidR="00654733" w:rsidRDefault="00654733" w:rsidP="00654733">
      <w:pPr>
        <w:widowControl w:val="0"/>
        <w:jc w:val="both"/>
        <w:rPr>
          <w:rFonts w:ascii="Arial" w:hAnsi="Arial" w:cs="Arial"/>
          <w:sz w:val="22"/>
        </w:rPr>
      </w:pPr>
    </w:p>
    <w:p w:rsidR="00654733" w:rsidRPr="008F2E37" w:rsidRDefault="00654733" w:rsidP="006547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</w:rPr>
      </w:pPr>
      <w:r w:rsidRPr="00EE269A">
        <w:rPr>
          <w:b/>
          <w:i/>
        </w:rPr>
        <w:t xml:space="preserve">Atenció: És imprescindible omplir i presentar el document </w:t>
      </w:r>
      <w:proofErr w:type="spellStart"/>
      <w:r w:rsidRPr="00EE269A">
        <w:rPr>
          <w:b/>
          <w:i/>
        </w:rPr>
        <w:t>excel</w:t>
      </w:r>
      <w:proofErr w:type="spellEnd"/>
      <w:r w:rsidRPr="00EE269A">
        <w:rPr>
          <w:b/>
          <w:i/>
        </w:rPr>
        <w:t xml:space="preserve"> inclòs en el sobre digital núm. 2, anomenat: </w:t>
      </w:r>
      <w:r w:rsidRPr="00EE269A">
        <w:rPr>
          <w:b/>
          <w:i/>
          <w:u w:val="single"/>
        </w:rPr>
        <w:t>EXCEL</w:t>
      </w:r>
      <w:r w:rsidRPr="00EE269A">
        <w:rPr>
          <w:b/>
          <w:i/>
        </w:rPr>
        <w:t xml:space="preserve"> </w:t>
      </w:r>
      <w:r w:rsidRPr="00EE269A">
        <w:rPr>
          <w:b/>
          <w:i/>
          <w:u w:val="single"/>
        </w:rPr>
        <w:t xml:space="preserve">OFERTA ECONÒMICA MANTENIMENT CORRECTIU </w:t>
      </w:r>
      <w:r w:rsidRPr="00EE269A">
        <w:rPr>
          <w:b/>
          <w:i/>
        </w:rPr>
        <w:t xml:space="preserve">–. En cas discrepància entre la suma total entre dit doc. i l’indicat en aquest per la part que fa al manteniment correctiu, prevaldrà el d’aquell – el del doc. </w:t>
      </w:r>
      <w:proofErr w:type="spellStart"/>
      <w:r w:rsidRPr="00EE269A">
        <w:rPr>
          <w:b/>
          <w:i/>
        </w:rPr>
        <w:t>excel</w:t>
      </w:r>
      <w:proofErr w:type="spellEnd"/>
      <w:r w:rsidRPr="00EE269A">
        <w:rPr>
          <w:b/>
          <w:i/>
        </w:rPr>
        <w:t xml:space="preserve">- atès que es el que recull els preus unitaris. Indicar també que el document haurà de ser omplert indicant els imports </w:t>
      </w:r>
      <w:proofErr w:type="spellStart"/>
      <w:r w:rsidRPr="00EE269A">
        <w:rPr>
          <w:b/>
          <w:i/>
        </w:rPr>
        <w:t>ofertats</w:t>
      </w:r>
      <w:proofErr w:type="spellEnd"/>
      <w:r w:rsidRPr="00EE269A">
        <w:rPr>
          <w:b/>
          <w:i/>
        </w:rPr>
        <w:t xml:space="preserve"> únicament en la columna “Preu unitat sense IVA” atès que el mateix realitzarà de forma automàtica la suma dels imports d’acord amb les ofertes que indiqueu.</w:t>
      </w:r>
    </w:p>
    <w:p w:rsidR="00654733" w:rsidRDefault="00654733" w:rsidP="00654733">
      <w:pPr>
        <w:widowControl w:val="0"/>
        <w:jc w:val="both"/>
        <w:rPr>
          <w:rFonts w:ascii="Arial" w:hAnsi="Arial" w:cs="Arial"/>
          <w:sz w:val="22"/>
        </w:rPr>
      </w:pPr>
    </w:p>
    <w:p w:rsidR="00654733" w:rsidRDefault="00654733" w:rsidP="00654733">
      <w:pPr>
        <w:widowControl w:val="0"/>
        <w:jc w:val="both"/>
        <w:rPr>
          <w:rFonts w:ascii="Arial" w:hAnsi="Arial" w:cs="Arial"/>
          <w:sz w:val="22"/>
        </w:rPr>
      </w:pPr>
    </w:p>
    <w:p w:rsidR="00654733" w:rsidRDefault="00654733" w:rsidP="00654733">
      <w:pPr>
        <w:widowControl w:val="0"/>
        <w:spacing w:after="0"/>
        <w:jc w:val="both"/>
        <w:rPr>
          <w:rFonts w:ascii="Arial" w:hAnsi="Arial" w:cs="Arial"/>
          <w:i/>
          <w:sz w:val="22"/>
        </w:rPr>
      </w:pPr>
    </w:p>
    <w:p w:rsidR="00654733" w:rsidRDefault="00654733" w:rsidP="00654733">
      <w:pPr>
        <w:widowControl w:val="0"/>
        <w:spacing w:after="0"/>
        <w:jc w:val="both"/>
        <w:rPr>
          <w:rFonts w:ascii="Arial" w:hAnsi="Arial" w:cs="Arial"/>
          <w:i/>
          <w:sz w:val="22"/>
        </w:rPr>
      </w:pPr>
    </w:p>
    <w:p w:rsidR="00654733" w:rsidRDefault="00654733" w:rsidP="00654733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54733" w:rsidRDefault="00654733" w:rsidP="00654733">
      <w:r>
        <w:rPr>
          <w:rFonts w:ascii="Arial" w:hAnsi="Arial" w:cs="Arial"/>
          <w:sz w:val="22"/>
        </w:rPr>
        <w:t>I per què consti, signo aquesta oferta econòmica.</w:t>
      </w:r>
    </w:p>
    <w:p w:rsidR="00654733" w:rsidRDefault="00654733" w:rsidP="00654733">
      <w:r>
        <w:rPr>
          <w:rFonts w:ascii="Arial" w:hAnsi="Arial" w:cs="Arial"/>
          <w:sz w:val="22"/>
        </w:rPr>
        <w:t>(lloc i data )</w:t>
      </w:r>
    </w:p>
    <w:p w:rsidR="00654733" w:rsidRDefault="00654733" w:rsidP="00654733">
      <w:r>
        <w:rPr>
          <w:rFonts w:ascii="Arial" w:hAnsi="Arial" w:cs="Arial"/>
          <w:sz w:val="22"/>
        </w:rPr>
        <w:t>Signatura</w:t>
      </w:r>
    </w:p>
    <w:p w:rsidR="00342573" w:rsidRPr="00654733" w:rsidRDefault="00654733" w:rsidP="00654733">
      <w:pPr>
        <w:ind w:right="-852"/>
      </w:pPr>
    </w:p>
    <w:sectPr w:rsidR="00342573" w:rsidRPr="006547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EF7" w:rsidRDefault="00B14EF7" w:rsidP="00B14EF7">
      <w:pPr>
        <w:spacing w:after="0"/>
      </w:pPr>
      <w:r>
        <w:separator/>
      </w:r>
    </w:p>
  </w:endnote>
  <w:endnote w:type="continuationSeparator" w:id="0">
    <w:p w:rsidR="00B14EF7" w:rsidRDefault="00B14EF7" w:rsidP="00B14E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EF7" w:rsidRDefault="00B14EF7" w:rsidP="00B14EF7">
      <w:pPr>
        <w:spacing w:after="0"/>
      </w:pPr>
      <w:r>
        <w:separator/>
      </w:r>
    </w:p>
  </w:footnote>
  <w:footnote w:type="continuationSeparator" w:id="0">
    <w:p w:rsidR="00B14EF7" w:rsidRDefault="00B14EF7" w:rsidP="00B14E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F7" w:rsidRDefault="00B14EF7">
    <w:pPr>
      <w:pStyle w:val="Encabezado"/>
    </w:pPr>
    <w:r w:rsidRPr="00830981">
      <w:rPr>
        <w:noProof/>
        <w:lang w:eastAsia="ca-ES"/>
      </w:rPr>
      <w:drawing>
        <wp:inline distT="0" distB="0" distL="0" distR="0" wp14:anchorId="6A507887" wp14:editId="2C2CD51F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F7"/>
    <w:rsid w:val="00654733"/>
    <w:rsid w:val="006969C4"/>
    <w:rsid w:val="00AF4D28"/>
    <w:rsid w:val="00B14EF7"/>
    <w:rsid w:val="00C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8C88F-0769-4864-9649-B2D0419F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E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B14E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14E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B14EF7"/>
    <w:pPr>
      <w:ind w:left="708"/>
    </w:pPr>
  </w:style>
  <w:style w:type="paragraph" w:styleId="NormalWeb">
    <w:name w:val="Normal (Web)"/>
    <w:basedOn w:val="Normal"/>
    <w:rsid w:val="00B14E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B14E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B14EF7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B14E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B14E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14EF7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14E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EF7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2026-01-15T13:56:00Z</dcterms:created>
  <dcterms:modified xsi:type="dcterms:W3CDTF">2026-01-15T13:56:00Z</dcterms:modified>
</cp:coreProperties>
</file>