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6CB6C253" w14:textId="3C6CAA65" w:rsidR="00225638" w:rsidRDefault="00416D25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w:rsidR="00A0394E" w:rsidRPr="000F2930">
        <w:rPr>
          <w:rFonts w:ascii="Roboto Medium" w:hAnsi="Roboto Medium"/>
          <w:sz w:val="22"/>
          <w:szCs w:val="22"/>
        </w:rPr>
        <w:t>CONTRATO DEL SERVICIO DE LIMPIEZA DE EQUIPAMIENTOS MUNICIPALES DEPORTIVOS</w:t>
      </w: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0D47E38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de </w:t>
      </w:r>
      <w:r w:rsidR="00A0394E" w:rsidRPr="000F2930">
        <w:rPr>
          <w:rFonts w:ascii="Roboto Medium" w:hAnsi="Roboto Medium"/>
          <w:sz w:val="22"/>
          <w:szCs w:val="22"/>
        </w:rPr>
        <w:t xml:space="preserve">contacto </w:t>
      </w:r>
      <w:r w:rsidRPr="00BB22FD">
        <w:rPr>
          <w:rFonts w:ascii="Roboto Light" w:hAnsi="Roboto Light" w:cs="Arial"/>
          <w:sz w:val="22"/>
          <w:szCs w:val="22"/>
        </w:rPr>
        <w:t>.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1F059B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1F059B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1F059B">
        <w:rPr>
          <w:rFonts w:ascii="Roboto Light" w:hAnsi="Roboto Light"/>
          <w:i/>
          <w:sz w:val="22"/>
          <w:szCs w:val="22"/>
        </w:rPr>
        <w:sym w:font="Symbol" w:char="F03C"/>
      </w:r>
      <w:r w:rsidRPr="001F059B">
        <w:rPr>
          <w:rFonts w:ascii="Roboto Light" w:hAnsi="Roboto Light"/>
          <w:i/>
          <w:sz w:val="22"/>
          <w:szCs w:val="22"/>
        </w:rPr>
        <w:t xml:space="preserve">marcar con una cruz </w:t>
      </w:r>
      <w:r w:rsidRPr="001F059B">
        <w:rPr>
          <w:rFonts w:ascii="Roboto Light" w:hAnsi="Roboto Light"/>
          <w:i/>
          <w:sz w:val="22"/>
          <w:szCs w:val="22"/>
        </w:rPr>
        <w:sym w:font="Symbol" w:char="F03E"/>
      </w:r>
      <w:r w:rsidRPr="001F059B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1F059B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1F059B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1F059B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1F059B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1F059B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>☐</w:t>
      </w:r>
      <w:r w:rsidRPr="001F059B">
        <w:rPr>
          <w:rFonts w:ascii="MS Gothic" w:eastAsia="MS Gothic" w:hAnsi="MS Gothic"/>
          <w:sz w:val="22"/>
          <w:szCs w:val="22"/>
        </w:rPr>
        <w:t xml:space="preserve"> </w:t>
      </w:r>
      <w:r w:rsidRPr="001F059B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>☐</w:t>
      </w:r>
      <w:r w:rsidRPr="001F059B">
        <w:rPr>
          <w:rFonts w:ascii="MS Gothic" w:eastAsia="MS Gothic" w:hAnsi="MS Gothic"/>
          <w:sz w:val="22"/>
          <w:szCs w:val="22"/>
        </w:rPr>
        <w:t xml:space="preserve"> </w:t>
      </w:r>
      <w:r w:rsidRPr="001F059B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empresariales.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(indicar las empresas que lo componen) </w:t>
      </w:r>
      <w:r w:rsidRPr="00BB22FD">
        <w:rPr>
          <w:rFonts w:ascii="Roboto Light" w:hAnsi="Roboto Light" w:cs="Arial"/>
          <w:sz w:val="22"/>
          <w:szCs w:val="22"/>
        </w:rPr>
        <w:t>.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Particulares 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documentación contenida en este sobre no podrá incluir ninguna información que permita conocer el contenido del sobre relativo a la proposición de los criterios </w:t>
      </w:r>
      <w:r w:rsidRPr="00E97FAF">
        <w:rPr>
          <w:rFonts w:ascii="Roboto Light" w:hAnsi="Roboto Light" w:cs="Arial"/>
          <w:b/>
          <w:sz w:val="22"/>
          <w:szCs w:val="22"/>
        </w:rPr>
        <w:lastRenderedPageBreak/>
        <w:t>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 xml:space="preserve">Fecha y firma </w:t>
      </w:r>
      <w:r w:rsidRPr="00B9047D">
        <w:rPr>
          <w:rFonts w:ascii="Roboto Light" w:hAnsi="Roboto Light" w:cs="Arial"/>
          <w:sz w:val="22"/>
          <w:szCs w:val="22"/>
        </w:rPr>
        <w:t xml:space="preserve">)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02F6" w14:textId="77777777" w:rsidR="00D04D6E" w:rsidRDefault="00D04D6E">
      <w:r>
        <w:separator/>
      </w:r>
    </w:p>
  </w:endnote>
  <w:endnote w:type="continuationSeparator" w:id="0">
    <w:p w14:paraId="2952D94C" w14:textId="77777777" w:rsidR="00D04D6E" w:rsidRDefault="00D04D6E">
      <w:r>
        <w:continuationSeparator/>
      </w:r>
    </w:p>
  </w:endnote>
  <w:endnote w:type="continuationNotice" w:id="1">
    <w:p w14:paraId="0A92C420" w14:textId="77777777" w:rsidR="00D04D6E" w:rsidRDefault="00D04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ECBD" w14:textId="77777777" w:rsidR="00670969" w:rsidRDefault="006709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A9A8" w14:textId="77777777" w:rsidR="00670969" w:rsidRDefault="00670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8AA7" w14:textId="77777777" w:rsidR="00D04D6E" w:rsidRDefault="00D04D6E">
      <w:r>
        <w:separator/>
      </w:r>
    </w:p>
  </w:footnote>
  <w:footnote w:type="continuationSeparator" w:id="0">
    <w:p w14:paraId="61C808E9" w14:textId="77777777" w:rsidR="00D04D6E" w:rsidRDefault="00D04D6E">
      <w:r>
        <w:continuationSeparator/>
      </w:r>
    </w:p>
  </w:footnote>
  <w:footnote w:type="continuationNotice" w:id="1">
    <w:p w14:paraId="7FE972CF" w14:textId="77777777" w:rsidR="00D04D6E" w:rsidRDefault="00D04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6DFC" w14:textId="196AC296" w:rsidR="00670969" w:rsidRDefault="00670969">
    <w:pPr>
      <w:pStyle w:val="Encabezado"/>
    </w:pPr>
    <w:r>
      <w:rPr>
        <w:noProof/>
      </w:rPr>
      <w:pict w14:anchorId="699BCF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1485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597A2E34" w:rsidR="00D16124" w:rsidRDefault="00670969">
    <w:pPr>
      <w:pStyle w:val="Encabezado"/>
    </w:pPr>
    <w:r>
      <w:rPr>
        <w:noProof/>
      </w:rPr>
      <w:pict w14:anchorId="5213B7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1486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98EE" w14:textId="2DD77729" w:rsidR="00670969" w:rsidRDefault="00670969">
    <w:pPr>
      <w:pStyle w:val="Encabezado"/>
    </w:pPr>
    <w:r>
      <w:rPr>
        <w:noProof/>
      </w:rPr>
      <w:pict w14:anchorId="2D1586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1484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07A7C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059B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0969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4437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0564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1C5D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394E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0C00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4D6E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2025-12-04T11:31:00Z</dcterms:created>
  <dcterms:modified xsi:type="dcterms:W3CDTF">2025-12-04T11:31:00Z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