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(si hi ha divisió en lots, 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</w:p>
    <w:p>
      <w:pPr>
        <w:pStyle w:val="Normal"/>
        <w:numPr>
          <w:ilvl w:val="0"/>
          <w:numId w:val="0"/>
        </w:numPr>
        <w:pBdr/>
        <w:spacing w:lineRule="auto" w:line="276"/>
        <w:ind w:hanging="0" w:left="170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none"/>
        </w:rPr>
        <w:t xml:space="preserve">A) </w:t>
      </w:r>
      <w:r>
        <w:rPr>
          <w:rFonts w:ascii="Arial" w:hAnsi="Arial"/>
          <w:sz w:val="22"/>
          <w:szCs w:val="22"/>
          <w:u w:val="single"/>
        </w:rPr>
        <w:t>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pel període executiu (1 any).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sz w:val="22"/>
          <w:szCs w:val="22"/>
        </w:rPr>
      </w:pPr>
      <w:bookmarkStart w:id="0" w:name="__RefHeading___Toc27218_1041666186"/>
      <w:bookmarkEnd w:id="0"/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>B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>1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>)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  <w:u w:val="single"/>
        </w:rPr>
        <w:t xml:space="preserve">Experiència en 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  <w:u w:val="single"/>
        </w:rPr>
        <w:t>gestió de planetaris i les seves activitats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  <w:u w:val="single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u w:val="single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 xml:space="preserve">El tècnic adscrit al contracte disposa de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.........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anys d’experiència en gestió de planetaris i les seves activitats. 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(indicar nombre)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  <w:u w:val="single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u w:val="single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*C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aldrà aportar 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en el sobre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únic la documentació acreditativa.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B.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2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  <w:t>Nivell d’idiomes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caps w:val="false"/>
          <w:smallCaps w:val="false"/>
          <w:color w:val="auto"/>
          <w:spacing w:val="0"/>
          <w:sz w:val="22"/>
          <w:szCs w:val="22"/>
          <w:u w:val="singl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E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l tècnic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adscrit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al contracte disposa d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e: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(escollir opció)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  <w:t xml:space="preserve">C2 Proficiency o equivalent 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</w:rPr>
        <w:t>en anglès</w:t>
      </w:r>
    </w:p>
    <w:p>
      <w:pPr>
        <w:pStyle w:val="Normal"/>
        <w:spacing w:lineRule="auto" w:line="276"/>
        <w:jc w:val="both"/>
        <w:rPr>
          <w:b w:val="false"/>
          <w:b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ab/>
        <w:tab/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 xml:space="preserve"> SI 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 xml:space="preserve">NO  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  <w:t>Goethe-Zertifikat C1 o equivalent en alemany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ab/>
        <w:tab/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 xml:space="preserve"> SI 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 xml:space="preserve">NO  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Diplome Français Affaires C1 o equivalent en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francès 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ab/>
        <w:tab/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SI        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NO  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   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*C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aldrà aportar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en el sobre únic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el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certificat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acreditatiu del nivell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. 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B.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3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)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  <w:t xml:space="preserve">Aportació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  <w:t xml:space="preserve">de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  <w:t>materials educatius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E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l licitador es compromet a adscriure a l’execució del contracte els següents materials educatius: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(escollir opció)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  <w:t xml:space="preserve">Maquetes dels principals astres del Sistema Solar </w:t>
      </w:r>
    </w:p>
    <w:p>
      <w:pPr>
        <w:pStyle w:val="Normal"/>
        <w:numPr>
          <w:ilvl w:val="0"/>
          <w:numId w:val="0"/>
        </w:numPr>
        <w:spacing w:lineRule="auto" w:line="276"/>
        <w:ind w:hanging="0" w:left="144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SI        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NO  </w:t>
      </w:r>
    </w:p>
    <w:p>
      <w:pPr>
        <w:pStyle w:val="Normal"/>
        <w:numPr>
          <w:ilvl w:val="0"/>
          <w:numId w:val="0"/>
        </w:numPr>
        <w:spacing w:lineRule="auto" w:line="276"/>
        <w:ind w:hanging="0" w:left="1440"/>
        <w:jc w:val="both"/>
        <w:rPr>
          <w:rFonts w:ascii="Arial" w:hAnsi="Arial" w:cs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  <w:t xml:space="preserve">Maqueta per representar els principals moviments del Sistema Sol-Terra-Lluna </w:t>
      </w:r>
    </w:p>
    <w:p>
      <w:pPr>
        <w:pStyle w:val="Normal"/>
        <w:numPr>
          <w:ilvl w:val="0"/>
          <w:numId w:val="0"/>
        </w:numPr>
        <w:spacing w:lineRule="auto" w:line="276"/>
        <w:ind w:hanging="0" w:left="144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SI        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NO  </w:t>
      </w:r>
    </w:p>
    <w:p>
      <w:pPr>
        <w:pStyle w:val="Normal"/>
        <w:numPr>
          <w:ilvl w:val="0"/>
          <w:numId w:val="0"/>
        </w:numPr>
        <w:spacing w:lineRule="auto" w:line="276"/>
        <w:ind w:hanging="0" w:left="1440"/>
        <w:jc w:val="both"/>
        <w:rPr>
          <w:rFonts w:ascii="Arial" w:hAnsi="Arial" w:cs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Telescopis per observar el Sol i el cel nocturn</w:t>
      </w:r>
    </w:p>
    <w:p>
      <w:pPr>
        <w:pStyle w:val="Normal"/>
        <w:numPr>
          <w:ilvl w:val="0"/>
          <w:numId w:val="0"/>
        </w:numPr>
        <w:spacing w:lineRule="auto" w:line="276"/>
        <w:ind w:hanging="0" w:left="1440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SI         </w:t>
      </w:r>
      <w:r>
        <w:rPr>
          <w:rFonts w:eastAsia="NSimSu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NO  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caps w:val="false"/>
          <w:smallCaps w:val="false"/>
          <w:color w:val="auto"/>
          <w:spacing w:val="0"/>
          <w:sz w:val="22"/>
          <w:szCs w:val="22"/>
          <w:u w:val="singl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B.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4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)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  <w:t>A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  <w:t>ctivitats complementaries a la difusió del programa del Planetar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single"/>
          <w:shd w:fill="auto" w:val="clear"/>
          <w:lang w:val="ca-ES"/>
        </w:rPr>
        <w:t>i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E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l licitador es compromet a realitzar les següents activitats: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(indicar nombre)</w:t>
      </w:r>
    </w:p>
    <w:p>
      <w:pPr>
        <w:pStyle w:val="Normal"/>
        <w:numPr>
          <w:ilvl w:val="0"/>
          <w:numId w:val="5"/>
        </w:numPr>
        <w:pBdr/>
        <w:spacing w:lineRule="auto" w:line="276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Nombre de s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ortid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es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d’observació addicional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s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ofertes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a les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tres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obligatòries establertes en els plecs tècnics: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.........</w:t>
      </w:r>
    </w:p>
    <w:p>
      <w:pPr>
        <w:pStyle w:val="Normal"/>
        <w:numPr>
          <w:ilvl w:val="0"/>
          <w:numId w:val="5"/>
        </w:numPr>
        <w:pBdr/>
        <w:spacing w:lineRule="auto" w:line="276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Nombre de conferències d’astronomia ofertes: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.........</w:t>
      </w:r>
    </w:p>
    <w:p>
      <w:pPr>
        <w:pStyle w:val="Normal"/>
        <w:numPr>
          <w:ilvl w:val="0"/>
          <w:numId w:val="5"/>
        </w:numPr>
        <w:pBdr/>
        <w:spacing w:lineRule="auto" w:line="276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Nombre de sessions d’astronomia a Youtube ofertes: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.........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7"/>
        </w:numPr>
        <w:spacing w:lineRule="auto" w:line="276"/>
        <w:jc w:val="both"/>
        <w:rPr>
          <w:rFonts w:ascii="Arial" w:hAnsi="Arial" w:eastAsia="Arial" w:cs="Arial"/>
          <w:b/>
          <w:bCs/>
          <w:i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928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444500</wp:posOffset>
          </wp:positionH>
          <wp:positionV relativeFrom="paragraph">
            <wp:posOffset>-409575</wp:posOffset>
          </wp:positionV>
          <wp:extent cx="4773930" cy="752475"/>
          <wp:effectExtent l="0" t="0" r="0" b="0"/>
          <wp:wrapSquare wrapText="largest"/>
          <wp:docPr id="1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39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444500</wp:posOffset>
          </wp:positionH>
          <wp:positionV relativeFrom="paragraph">
            <wp:posOffset>-409575</wp:posOffset>
          </wp:positionV>
          <wp:extent cx="4773930" cy="752475"/>
          <wp:effectExtent l="0" t="0" r="0" b="0"/>
          <wp:wrapSquare wrapText="largest"/>
          <wp:docPr id="2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39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lvl w:ilvl="0">
        <w:start w:val="1"/>
        <w:numFmt w:val="none"/>
        <w:suff w:val="nothing"/>
        <w:lvlText w:val="%1"/>
        <w:lvlJc w:val="left"/>
        <w:pPr>
          <w:tabs>
            <w:tab w:val="num" w:pos="0"/>
          </w:tabs>
          <w:ind w:left="624" w:hanging="624"/>
        </w:pPr>
        <w:rPr>
          <w:color w:val="auto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Capaleraipeudepgina"/>
    <w:pPr>
      <w:suppressLineNumbers/>
    </w:pPr>
    <w:rPr/>
  </w:style>
  <w:style w:type="paragraph" w:styleId="Footer">
    <w:name w:val="footer"/>
    <w:basedOn w:val="Capaleraipeudepgina"/>
    <w:pPr>
      <w:suppressLineNumbers/>
    </w:pPr>
    <w:rPr/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LibreOffice/24.8.7.2$Windows_X86_64 LibreOffice_project/e07d0a63a46349d29051da79b1fde8160bab2a89</Application>
  <AppVersion>15.0000</AppVersion>
  <Pages>2</Pages>
  <Words>401</Words>
  <Characters>2384</Characters>
  <CharactersWithSpaces>2821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2025-07-18T14:00:05Z</dcterms:created>
  <dc:creator/>
  <dc:description/>
  <dc:language>es-ES</dc:language>
  <cp:lastModifiedBy/>
  <dcterms:modified xsi:type="dcterms:W3CDTF">2025-12-29T13:33:10Z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