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iCs/>
          <w:color w:val="000000"/>
          <w:sz w:val="22"/>
          <w:szCs w:val="22"/>
          <w:u w:val="none"/>
          <w:shd w:fill="auto" w:val="clear"/>
          <w:lang w:val="ca-ES" w:eastAsia="zh-CN" w:bidi="hi-IN"/>
        </w:rPr>
        <w:t>.</w:t>
      </w:r>
      <w:r>
        <w:rPr>
          <w:rFonts w:eastAsia="Times New Roman" w:cs="Arial"/>
          <w:b w:val="false"/>
          <w:bCs w:val="false"/>
          <w:i/>
          <w:iCs/>
          <w:color w:val="000000"/>
          <w:sz w:val="22"/>
          <w:szCs w:val="22"/>
          <w:u w:val="non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4</Pages>
  <Words>1062</Words>
  <Characters>6127</Characters>
  <CharactersWithSpaces>7190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2025-12-11T13:24:03Z</dcterms:modified>
  <cp:revision>23</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