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426" w:tblpY="1"/>
        <w:tblOverlap w:val="never"/>
        <w:tblW w:w="5286" w:type="pct"/>
        <w:tblCellMar>
          <w:left w:w="70" w:type="dxa"/>
          <w:right w:w="70" w:type="dxa"/>
        </w:tblCellMar>
        <w:tblLook w:val="0000" w:firstRow="0" w:lastRow="0" w:firstColumn="0" w:lastColumn="0" w:noHBand="0" w:noVBand="0"/>
      </w:tblPr>
      <w:tblGrid>
        <w:gridCol w:w="2450"/>
        <w:gridCol w:w="650"/>
        <w:gridCol w:w="795"/>
        <w:gridCol w:w="1322"/>
        <w:gridCol w:w="170"/>
        <w:gridCol w:w="913"/>
        <w:gridCol w:w="4190"/>
      </w:tblGrid>
      <w:tr w:rsidR="00746D08" w:rsidRPr="00BB1167" w14:paraId="593D5D7C" w14:textId="77777777" w:rsidTr="00F76C39">
        <w:trPr>
          <w:cantSplit/>
          <w:trHeight w:val="560"/>
        </w:trPr>
        <w:tc>
          <w:tcPr>
            <w:tcW w:w="1168" w:type="pct"/>
            <w:vMerge w:val="restart"/>
          </w:tcPr>
          <w:p w14:paraId="48173247" w14:textId="77777777" w:rsidR="00746D08" w:rsidRPr="00BB1167" w:rsidRDefault="00F640C5" w:rsidP="00F76C39">
            <w:pPr>
              <w:tabs>
                <w:tab w:val="left" w:pos="5670"/>
                <w:tab w:val="left" w:pos="6237"/>
              </w:tabs>
              <w:ind w:left="-450"/>
              <w:jc w:val="center"/>
              <w:rPr>
                <w:rFonts w:ascii="Arial" w:hAnsi="Arial" w:cs="Arial"/>
              </w:rPr>
            </w:pPr>
            <w:r w:rsidRPr="00BB1167">
              <w:rPr>
                <w:rFonts w:ascii="Arial" w:hAnsi="Arial" w:cs="Arial"/>
                <w:caps/>
                <w:noProof/>
                <w:sz w:val="22"/>
                <w:szCs w:val="22"/>
              </w:rPr>
              <w:drawing>
                <wp:inline distT="0" distB="0" distL="0" distR="0" wp14:anchorId="5B11DC6F" wp14:editId="74447291">
                  <wp:extent cx="1352550" cy="476250"/>
                  <wp:effectExtent l="0" t="0" r="0" b="0"/>
                  <wp:docPr id="1" name="Imatge 1" descr="MACBA_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BA_Logo 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476250"/>
                          </a:xfrm>
                          <a:prstGeom prst="rect">
                            <a:avLst/>
                          </a:prstGeom>
                          <a:noFill/>
                          <a:ln>
                            <a:noFill/>
                          </a:ln>
                        </pic:spPr>
                      </pic:pic>
                    </a:graphicData>
                  </a:graphic>
                </wp:inline>
              </w:drawing>
            </w:r>
            <w:r w:rsidR="00746D08" w:rsidRPr="00BB1167">
              <w:rPr>
                <w:rFonts w:ascii="Arial" w:hAnsi="Arial" w:cs="Arial"/>
              </w:rPr>
              <w:t xml:space="preserve">   </w:t>
            </w:r>
          </w:p>
        </w:tc>
        <w:tc>
          <w:tcPr>
            <w:tcW w:w="310" w:type="pct"/>
          </w:tcPr>
          <w:p w14:paraId="3CF0B532" w14:textId="77777777" w:rsidR="00746D08" w:rsidRPr="00BB1167" w:rsidRDefault="00746D08" w:rsidP="00F76C39">
            <w:pPr>
              <w:tabs>
                <w:tab w:val="left" w:pos="5670"/>
                <w:tab w:val="left" w:pos="6237"/>
              </w:tabs>
              <w:rPr>
                <w:rFonts w:ascii="Arial" w:hAnsi="Arial" w:cs="Arial"/>
                <w:b/>
              </w:rPr>
            </w:pPr>
          </w:p>
        </w:tc>
        <w:tc>
          <w:tcPr>
            <w:tcW w:w="1090" w:type="pct"/>
            <w:gridSpan w:val="3"/>
          </w:tcPr>
          <w:p w14:paraId="79640C1D" w14:textId="77777777" w:rsidR="00746D08" w:rsidRPr="00BB1167" w:rsidRDefault="00746D08" w:rsidP="00F76C39">
            <w:pPr>
              <w:tabs>
                <w:tab w:val="left" w:pos="5670"/>
                <w:tab w:val="left" w:pos="6237"/>
              </w:tabs>
              <w:rPr>
                <w:rFonts w:ascii="Arial" w:hAnsi="Arial" w:cs="Arial"/>
                <w:b/>
              </w:rPr>
            </w:pPr>
          </w:p>
        </w:tc>
        <w:tc>
          <w:tcPr>
            <w:tcW w:w="2432" w:type="pct"/>
            <w:gridSpan w:val="2"/>
            <w:tcBorders>
              <w:top w:val="single" w:sz="12" w:space="0" w:color="auto"/>
              <w:bottom w:val="single" w:sz="12" w:space="0" w:color="auto"/>
            </w:tcBorders>
          </w:tcPr>
          <w:p w14:paraId="0E31A348" w14:textId="64A49A16" w:rsidR="00746D08" w:rsidRPr="00BB1167" w:rsidRDefault="00746D08" w:rsidP="00F76C39">
            <w:pPr>
              <w:tabs>
                <w:tab w:val="left" w:pos="5670"/>
                <w:tab w:val="left" w:pos="6237"/>
              </w:tabs>
              <w:jc w:val="right"/>
              <w:rPr>
                <w:rFonts w:ascii="Arial" w:hAnsi="Arial" w:cs="Arial"/>
              </w:rPr>
            </w:pPr>
            <w:r w:rsidRPr="00BB1167">
              <w:rPr>
                <w:rFonts w:ascii="Arial" w:hAnsi="Arial" w:cs="Arial"/>
              </w:rPr>
              <w:t>Núm. Expedient</w:t>
            </w:r>
          </w:p>
          <w:p w14:paraId="2151C69E" w14:textId="25BFA0A4" w:rsidR="00746D08" w:rsidRPr="00BB1167" w:rsidRDefault="00A056FC" w:rsidP="00F76C39">
            <w:pPr>
              <w:tabs>
                <w:tab w:val="left" w:pos="5670"/>
                <w:tab w:val="left" w:pos="6237"/>
              </w:tabs>
              <w:jc w:val="right"/>
              <w:rPr>
                <w:rFonts w:ascii="Arial" w:hAnsi="Arial" w:cs="Arial"/>
              </w:rPr>
            </w:pPr>
            <w:r w:rsidRPr="00BB1167">
              <w:rPr>
                <w:rFonts w:ascii="Arial" w:hAnsi="Arial" w:cs="Arial"/>
              </w:rPr>
              <w:t>AM</w:t>
            </w:r>
            <w:r w:rsidR="0073407B" w:rsidRPr="00BB1167">
              <w:rPr>
                <w:rFonts w:ascii="Arial" w:hAnsi="Arial" w:cs="Arial"/>
              </w:rPr>
              <w:t>20</w:t>
            </w:r>
            <w:r w:rsidR="00182B2B" w:rsidRPr="00BB1167">
              <w:rPr>
                <w:rFonts w:ascii="Arial" w:hAnsi="Arial" w:cs="Arial"/>
              </w:rPr>
              <w:t>2</w:t>
            </w:r>
            <w:r w:rsidR="008207F6">
              <w:rPr>
                <w:rFonts w:ascii="Arial" w:hAnsi="Arial" w:cs="Arial"/>
              </w:rPr>
              <w:t>5</w:t>
            </w:r>
            <w:r w:rsidR="00F10295" w:rsidRPr="00BB1167">
              <w:rPr>
                <w:rFonts w:ascii="Arial" w:hAnsi="Arial" w:cs="Arial"/>
              </w:rPr>
              <w:t>-</w:t>
            </w:r>
            <w:r w:rsidRPr="00BB1167">
              <w:rPr>
                <w:rFonts w:ascii="Arial" w:hAnsi="Arial" w:cs="Arial"/>
              </w:rPr>
              <w:t>0</w:t>
            </w:r>
            <w:r w:rsidR="008207F6">
              <w:rPr>
                <w:rFonts w:ascii="Arial" w:hAnsi="Arial" w:cs="Arial"/>
              </w:rPr>
              <w:t>3</w:t>
            </w:r>
            <w:r w:rsidR="00F951D5" w:rsidRPr="00BB1167">
              <w:rPr>
                <w:rFonts w:ascii="Arial" w:hAnsi="Arial" w:cs="Arial"/>
              </w:rPr>
              <w:t>.D</w:t>
            </w:r>
            <w:r w:rsidR="008207F6">
              <w:rPr>
                <w:rFonts w:ascii="Arial" w:hAnsi="Arial" w:cs="Arial"/>
              </w:rPr>
              <w:t>1</w:t>
            </w:r>
          </w:p>
        </w:tc>
      </w:tr>
      <w:tr w:rsidR="00746D08" w:rsidRPr="00BB1167" w14:paraId="232F714A" w14:textId="77777777" w:rsidTr="00F76C39">
        <w:trPr>
          <w:cantSplit/>
          <w:trHeight w:val="18"/>
        </w:trPr>
        <w:tc>
          <w:tcPr>
            <w:tcW w:w="1168" w:type="pct"/>
            <w:vMerge/>
          </w:tcPr>
          <w:p w14:paraId="22383FD5" w14:textId="77777777" w:rsidR="00746D08" w:rsidRPr="00BB1167" w:rsidRDefault="00746D08" w:rsidP="00F76C39">
            <w:pPr>
              <w:tabs>
                <w:tab w:val="left" w:pos="5670"/>
                <w:tab w:val="left" w:pos="6237"/>
              </w:tabs>
              <w:ind w:left="-450"/>
              <w:jc w:val="center"/>
              <w:rPr>
                <w:rFonts w:ascii="Arial" w:hAnsi="Arial" w:cs="Arial"/>
                <w:caps/>
                <w:sz w:val="22"/>
                <w:szCs w:val="22"/>
              </w:rPr>
            </w:pPr>
          </w:p>
        </w:tc>
        <w:tc>
          <w:tcPr>
            <w:tcW w:w="310" w:type="pct"/>
          </w:tcPr>
          <w:p w14:paraId="62F5836D" w14:textId="77777777" w:rsidR="00746D08" w:rsidRPr="00BB1167" w:rsidRDefault="00746D08" w:rsidP="00F76C39">
            <w:pPr>
              <w:tabs>
                <w:tab w:val="left" w:pos="5670"/>
                <w:tab w:val="left" w:pos="6237"/>
              </w:tabs>
              <w:rPr>
                <w:rFonts w:ascii="Arial" w:hAnsi="Arial" w:cs="Arial"/>
                <w:b/>
              </w:rPr>
            </w:pPr>
          </w:p>
        </w:tc>
        <w:tc>
          <w:tcPr>
            <w:tcW w:w="1525" w:type="pct"/>
            <w:gridSpan w:val="4"/>
          </w:tcPr>
          <w:p w14:paraId="7FBFDD83" w14:textId="77777777" w:rsidR="00746D08" w:rsidRPr="00BB1167" w:rsidRDefault="00746D08" w:rsidP="00F76C39">
            <w:pPr>
              <w:tabs>
                <w:tab w:val="left" w:pos="5670"/>
                <w:tab w:val="left" w:pos="6237"/>
              </w:tabs>
              <w:rPr>
                <w:rFonts w:ascii="Arial" w:hAnsi="Arial" w:cs="Arial"/>
                <w:b/>
              </w:rPr>
            </w:pPr>
          </w:p>
        </w:tc>
        <w:tc>
          <w:tcPr>
            <w:tcW w:w="1997" w:type="pct"/>
            <w:tcBorders>
              <w:top w:val="single" w:sz="12" w:space="0" w:color="auto"/>
            </w:tcBorders>
          </w:tcPr>
          <w:p w14:paraId="7EA1E086" w14:textId="77777777" w:rsidR="00746D08" w:rsidRPr="00BB1167" w:rsidRDefault="00746D08" w:rsidP="00F76C39">
            <w:pPr>
              <w:tabs>
                <w:tab w:val="left" w:pos="5670"/>
                <w:tab w:val="left" w:pos="6237"/>
              </w:tabs>
              <w:rPr>
                <w:rFonts w:ascii="Arial" w:hAnsi="Arial" w:cs="Arial"/>
              </w:rPr>
            </w:pPr>
          </w:p>
        </w:tc>
      </w:tr>
      <w:tr w:rsidR="00322C48" w:rsidRPr="00BB1167" w14:paraId="1D7BF3AB" w14:textId="77777777" w:rsidTr="00F76C39">
        <w:trPr>
          <w:cantSplit/>
          <w:trHeight w:val="605"/>
        </w:trPr>
        <w:tc>
          <w:tcPr>
            <w:tcW w:w="1857" w:type="pct"/>
            <w:gridSpan w:val="3"/>
            <w:shd w:val="clear" w:color="auto" w:fill="000000"/>
          </w:tcPr>
          <w:p w14:paraId="6DC121BE" w14:textId="77777777" w:rsidR="00322C48" w:rsidRPr="00BB1167" w:rsidRDefault="00322C48" w:rsidP="00F76C39">
            <w:pPr>
              <w:jc w:val="both"/>
              <w:rPr>
                <w:rFonts w:ascii="Arial" w:hAnsi="Arial" w:cs="Arial"/>
                <w:color w:val="FFFFFF"/>
              </w:rPr>
            </w:pPr>
            <w:r w:rsidRPr="00BB1167">
              <w:rPr>
                <w:rFonts w:ascii="Arial" w:hAnsi="Arial" w:cs="Arial"/>
                <w:color w:val="FFFFFF"/>
              </w:rPr>
              <w:t>ÒRGAN GESTOR</w:t>
            </w:r>
            <w:r w:rsidR="00E34BE1" w:rsidRPr="00BB1167">
              <w:rPr>
                <w:rFonts w:ascii="Arial" w:hAnsi="Arial" w:cs="Arial"/>
                <w:color w:val="FFFFFF"/>
              </w:rPr>
              <w:t>:</w:t>
            </w:r>
          </w:p>
          <w:p w14:paraId="25385842" w14:textId="29CF7986" w:rsidR="00E34BE1" w:rsidRPr="00BB1167" w:rsidRDefault="006B7999" w:rsidP="00F76C39">
            <w:pPr>
              <w:jc w:val="both"/>
              <w:rPr>
                <w:rFonts w:ascii="Arial" w:hAnsi="Arial" w:cs="Arial"/>
                <w:color w:val="FFFFFF"/>
              </w:rPr>
            </w:pPr>
            <w:r>
              <w:rPr>
                <w:rFonts w:ascii="Arial" w:hAnsi="Arial" w:cs="Arial"/>
                <w:color w:val="FFFFFF"/>
              </w:rPr>
              <w:t>SISTEMES</w:t>
            </w:r>
          </w:p>
        </w:tc>
        <w:tc>
          <w:tcPr>
            <w:tcW w:w="3143" w:type="pct"/>
            <w:gridSpan w:val="4"/>
            <w:shd w:val="clear" w:color="auto" w:fill="000000"/>
          </w:tcPr>
          <w:p w14:paraId="0224D32B" w14:textId="77777777" w:rsidR="00A056FC" w:rsidRPr="00BB1167" w:rsidRDefault="00A056FC" w:rsidP="00F76C39">
            <w:pPr>
              <w:pStyle w:val="Pas8"/>
              <w:spacing w:after="40"/>
              <w:jc w:val="right"/>
              <w:rPr>
                <w:rFonts w:ascii="Arial" w:hAnsi="Arial" w:cs="Arial"/>
                <w:color w:val="FFFFFF"/>
                <w:sz w:val="20"/>
              </w:rPr>
            </w:pPr>
          </w:p>
          <w:p w14:paraId="47B59E05" w14:textId="3BA2471D" w:rsidR="00322C48" w:rsidRPr="00BB1167" w:rsidRDefault="00270D8B" w:rsidP="00F76C39">
            <w:pPr>
              <w:pStyle w:val="Pas8"/>
              <w:spacing w:after="40"/>
              <w:jc w:val="right"/>
              <w:rPr>
                <w:rFonts w:ascii="Arial" w:hAnsi="Arial" w:cs="Arial"/>
                <w:color w:val="FFFFFF"/>
                <w:sz w:val="20"/>
              </w:rPr>
            </w:pPr>
            <w:r>
              <w:rPr>
                <w:rFonts w:ascii="Arial" w:hAnsi="Arial" w:cs="Arial"/>
                <w:color w:val="FFFFFF"/>
                <w:sz w:val="20"/>
              </w:rPr>
              <w:t>AMPLIACIÓ DEL TERMINI DE PRESENTACIÓ D’OFERTES</w:t>
            </w:r>
          </w:p>
        </w:tc>
      </w:tr>
      <w:tr w:rsidR="000E5E0B" w:rsidRPr="00BB1167" w14:paraId="22452147" w14:textId="77777777" w:rsidTr="00F76C39">
        <w:tblPrEx>
          <w:tblCellMar>
            <w:left w:w="62" w:type="dxa"/>
            <w:right w:w="62" w:type="dxa"/>
          </w:tblCellMar>
        </w:tblPrEx>
        <w:trPr>
          <w:cantSplit/>
          <w:trHeight w:hRule="exact" w:val="307"/>
        </w:trPr>
        <w:tc>
          <w:tcPr>
            <w:tcW w:w="5000" w:type="pct"/>
            <w:gridSpan w:val="7"/>
            <w:tcBorders>
              <w:bottom w:val="single" w:sz="18" w:space="0" w:color="auto"/>
            </w:tcBorders>
            <w:vAlign w:val="center"/>
          </w:tcPr>
          <w:p w14:paraId="373FB665" w14:textId="7DA138C3" w:rsidR="00F0618B" w:rsidRPr="00BB1167" w:rsidRDefault="00F0618B" w:rsidP="00F76C39">
            <w:pPr>
              <w:pStyle w:val="Pas8"/>
              <w:spacing w:line="240" w:lineRule="exact"/>
              <w:rPr>
                <w:rFonts w:ascii="Arial" w:hAnsi="Arial" w:cs="Arial"/>
                <w:sz w:val="8"/>
              </w:rPr>
            </w:pPr>
          </w:p>
        </w:tc>
      </w:tr>
      <w:tr w:rsidR="00600169" w:rsidRPr="00BB1167" w14:paraId="7AE603D0" w14:textId="77777777" w:rsidTr="00F76C39">
        <w:tblPrEx>
          <w:tblCellMar>
            <w:left w:w="62" w:type="dxa"/>
            <w:right w:w="62" w:type="dxa"/>
          </w:tblCellMar>
        </w:tblPrEx>
        <w:trPr>
          <w:cantSplit/>
          <w:trHeight w:val="452"/>
        </w:trPr>
        <w:tc>
          <w:tcPr>
            <w:tcW w:w="5000" w:type="pct"/>
            <w:gridSpan w:val="7"/>
            <w:tcBorders>
              <w:top w:val="single" w:sz="18" w:space="0" w:color="auto"/>
              <w:bottom w:val="single" w:sz="18" w:space="0" w:color="auto"/>
            </w:tcBorders>
            <w:shd w:val="clear" w:color="auto" w:fill="FFFFFF"/>
            <w:vAlign w:val="center"/>
          </w:tcPr>
          <w:p w14:paraId="511A5970" w14:textId="45AFA030" w:rsidR="00600169" w:rsidRPr="00BB1167" w:rsidRDefault="00EE6CA4" w:rsidP="00F76C39">
            <w:pPr>
              <w:jc w:val="center"/>
              <w:rPr>
                <w:rFonts w:ascii="Arial" w:hAnsi="Arial" w:cs="Arial"/>
                <w:b/>
                <w:color w:val="000000"/>
              </w:rPr>
            </w:pPr>
            <w:r>
              <w:rPr>
                <w:rFonts w:ascii="Arial" w:hAnsi="Arial" w:cs="Arial"/>
                <w:b/>
                <w:color w:val="000000"/>
              </w:rPr>
              <w:t>R</w:t>
            </w:r>
            <w:r w:rsidR="00600169" w:rsidRPr="00BB1167">
              <w:rPr>
                <w:rFonts w:ascii="Arial" w:hAnsi="Arial" w:cs="Arial"/>
                <w:b/>
                <w:color w:val="000000"/>
              </w:rPr>
              <w:t>ESOLUCIÓ</w:t>
            </w:r>
          </w:p>
        </w:tc>
      </w:tr>
      <w:tr w:rsidR="00797F9C" w:rsidRPr="00BB1167" w14:paraId="11F76717" w14:textId="77777777" w:rsidTr="004E124D">
        <w:tblPrEx>
          <w:tblCellMar>
            <w:left w:w="62" w:type="dxa"/>
            <w:right w:w="62" w:type="dxa"/>
          </w:tblCellMar>
        </w:tblPrEx>
        <w:trPr>
          <w:cantSplit/>
          <w:trHeight w:val="68"/>
        </w:trPr>
        <w:tc>
          <w:tcPr>
            <w:tcW w:w="5000" w:type="pct"/>
            <w:gridSpan w:val="7"/>
            <w:tcBorders>
              <w:top w:val="single" w:sz="18" w:space="0" w:color="auto"/>
              <w:bottom w:val="single" w:sz="4" w:space="0" w:color="auto"/>
            </w:tcBorders>
            <w:shd w:val="clear" w:color="auto" w:fill="FFFFFF"/>
            <w:vAlign w:val="center"/>
          </w:tcPr>
          <w:p w14:paraId="652D3281" w14:textId="77777777" w:rsidR="00797F9C" w:rsidRPr="00BB1167" w:rsidRDefault="00797F9C" w:rsidP="00F76C39">
            <w:pPr>
              <w:jc w:val="center"/>
              <w:rPr>
                <w:rFonts w:ascii="Arial" w:hAnsi="Arial" w:cs="Arial"/>
                <w:b/>
                <w:color w:val="000000"/>
                <w:sz w:val="10"/>
                <w:szCs w:val="10"/>
              </w:rPr>
            </w:pPr>
          </w:p>
        </w:tc>
      </w:tr>
      <w:tr w:rsidR="00322C48" w:rsidRPr="00BB1167" w14:paraId="34FB77BC" w14:textId="77777777" w:rsidTr="004E124D">
        <w:tblPrEx>
          <w:tblCellMar>
            <w:left w:w="62" w:type="dxa"/>
            <w:right w:w="62" w:type="dxa"/>
          </w:tblCellMar>
        </w:tblPrEx>
        <w:trPr>
          <w:cantSplit/>
          <w:trHeight w:val="3221"/>
        </w:trPr>
        <w:tc>
          <w:tcPr>
            <w:tcW w:w="5000" w:type="pct"/>
            <w:gridSpan w:val="7"/>
            <w:tcBorders>
              <w:top w:val="single" w:sz="4" w:space="0" w:color="auto"/>
              <w:left w:val="single" w:sz="2" w:space="0" w:color="auto"/>
              <w:bottom w:val="single" w:sz="4" w:space="0" w:color="auto"/>
              <w:right w:val="single" w:sz="2" w:space="0" w:color="auto"/>
            </w:tcBorders>
          </w:tcPr>
          <w:p w14:paraId="72E6BE0B" w14:textId="14FA7413" w:rsidR="000A5644" w:rsidRPr="00322AEF" w:rsidRDefault="000A5644" w:rsidP="00F76C39">
            <w:pPr>
              <w:pStyle w:val="Default"/>
              <w:jc w:val="both"/>
              <w:rPr>
                <w:sz w:val="18"/>
                <w:szCs w:val="18"/>
              </w:rPr>
            </w:pPr>
          </w:p>
          <w:p w14:paraId="0F237094" w14:textId="587F6728" w:rsidR="00D64420" w:rsidRPr="00322AEF" w:rsidRDefault="00D64420" w:rsidP="00D64420">
            <w:pPr>
              <w:pStyle w:val="Default"/>
              <w:jc w:val="both"/>
              <w:rPr>
                <w:b/>
                <w:bCs/>
                <w:sz w:val="18"/>
                <w:szCs w:val="18"/>
              </w:rPr>
            </w:pPr>
            <w:r w:rsidRPr="00322AEF">
              <w:rPr>
                <w:b/>
                <w:bCs/>
                <w:sz w:val="18"/>
                <w:szCs w:val="18"/>
              </w:rPr>
              <w:t>FONAMENTS DE DRET</w:t>
            </w:r>
          </w:p>
          <w:p w14:paraId="5DA28E9E" w14:textId="77777777" w:rsidR="00D64420" w:rsidRPr="00322AEF" w:rsidRDefault="00D64420" w:rsidP="00D64420">
            <w:pPr>
              <w:pStyle w:val="Default"/>
              <w:jc w:val="both"/>
              <w:rPr>
                <w:sz w:val="18"/>
                <w:szCs w:val="18"/>
              </w:rPr>
            </w:pPr>
          </w:p>
          <w:p w14:paraId="40462DB9" w14:textId="4D049F8F" w:rsidR="00D64420" w:rsidRPr="00322AEF" w:rsidRDefault="007D7B4A" w:rsidP="00D64420">
            <w:pPr>
              <w:pStyle w:val="Default"/>
              <w:jc w:val="both"/>
              <w:rPr>
                <w:b/>
                <w:bCs/>
                <w:sz w:val="18"/>
                <w:szCs w:val="18"/>
              </w:rPr>
            </w:pPr>
            <w:r w:rsidRPr="00322AEF">
              <w:rPr>
                <w:b/>
                <w:bCs/>
                <w:sz w:val="18"/>
                <w:szCs w:val="18"/>
              </w:rPr>
              <w:t>P</w:t>
            </w:r>
            <w:r w:rsidR="00D64420" w:rsidRPr="00322AEF">
              <w:rPr>
                <w:b/>
                <w:bCs/>
                <w:sz w:val="18"/>
                <w:szCs w:val="18"/>
              </w:rPr>
              <w:t xml:space="preserve">rimer. Error material </w:t>
            </w:r>
            <w:r w:rsidRPr="00322AEF">
              <w:rPr>
                <w:b/>
                <w:bCs/>
                <w:sz w:val="18"/>
                <w:szCs w:val="18"/>
              </w:rPr>
              <w:t>esmenable</w:t>
            </w:r>
          </w:p>
          <w:p w14:paraId="5F54E261" w14:textId="77777777" w:rsidR="00D64420" w:rsidRPr="00322AEF" w:rsidRDefault="00D64420" w:rsidP="00D64420">
            <w:pPr>
              <w:pStyle w:val="Default"/>
              <w:jc w:val="both"/>
              <w:rPr>
                <w:sz w:val="18"/>
                <w:szCs w:val="18"/>
              </w:rPr>
            </w:pPr>
          </w:p>
          <w:p w14:paraId="567D8AB7" w14:textId="77777777" w:rsidR="00D64420" w:rsidRPr="00322AEF" w:rsidRDefault="00D64420" w:rsidP="00D64420">
            <w:pPr>
              <w:pStyle w:val="Default"/>
              <w:jc w:val="both"/>
              <w:rPr>
                <w:sz w:val="18"/>
                <w:szCs w:val="18"/>
              </w:rPr>
            </w:pPr>
            <w:r w:rsidRPr="00322AEF">
              <w:rPr>
                <w:sz w:val="18"/>
                <w:szCs w:val="18"/>
              </w:rPr>
              <w:t>L'article 109.2 de la Llei 39/2015, d'1 d'octubre, del Procediment Administratiu Comú de les Administracions Públiques (LPAC), estableix que les administracions públiques poden rectificar en qualsevol moment, d'ofici o a instància dels interessats, els errors materials, de fet o aritmètics existents en els seus actes.</w:t>
            </w:r>
          </w:p>
          <w:p w14:paraId="293F6267" w14:textId="77777777" w:rsidR="00D64420" w:rsidRPr="00322AEF" w:rsidRDefault="00D64420" w:rsidP="00D64420">
            <w:pPr>
              <w:pStyle w:val="Default"/>
              <w:jc w:val="both"/>
              <w:rPr>
                <w:sz w:val="18"/>
                <w:szCs w:val="18"/>
              </w:rPr>
            </w:pPr>
          </w:p>
          <w:p w14:paraId="7FAECDAD" w14:textId="11EC8104" w:rsidR="00D64420" w:rsidRPr="00322AEF" w:rsidRDefault="00D64420" w:rsidP="00D64420">
            <w:pPr>
              <w:pStyle w:val="Default"/>
              <w:jc w:val="both"/>
              <w:rPr>
                <w:sz w:val="18"/>
                <w:szCs w:val="18"/>
              </w:rPr>
            </w:pPr>
            <w:r w:rsidRPr="00322AEF">
              <w:rPr>
                <w:sz w:val="18"/>
                <w:szCs w:val="18"/>
              </w:rPr>
              <w:t>La discordança entre el termini establert al PCAP de l'Acord marc (10 dies hàbils), el previst a l'informe jurídic de l'expedient (10 dies hàbils) i el publicat a la plataforma electrònica (4 dies hàbils) constitueix un error material de transcripció que ha de ser rectificat per garantir la correcta aplicació de les normes de l'Acord marc.</w:t>
            </w:r>
          </w:p>
          <w:p w14:paraId="701551E4" w14:textId="77777777" w:rsidR="00D64420" w:rsidRPr="00322AEF" w:rsidRDefault="00D64420" w:rsidP="00D64420">
            <w:pPr>
              <w:pStyle w:val="Default"/>
              <w:jc w:val="both"/>
              <w:rPr>
                <w:sz w:val="18"/>
                <w:szCs w:val="18"/>
              </w:rPr>
            </w:pPr>
          </w:p>
          <w:p w14:paraId="7CF39554" w14:textId="77777777" w:rsidR="00D64420" w:rsidRDefault="00D64420" w:rsidP="00D64420">
            <w:pPr>
              <w:pStyle w:val="Default"/>
              <w:jc w:val="both"/>
              <w:rPr>
                <w:sz w:val="18"/>
                <w:szCs w:val="18"/>
              </w:rPr>
            </w:pPr>
            <w:r w:rsidRPr="00322AEF">
              <w:rPr>
                <w:sz w:val="18"/>
                <w:szCs w:val="18"/>
              </w:rPr>
              <w:t>Aquest error:</w:t>
            </w:r>
          </w:p>
          <w:p w14:paraId="1F918785" w14:textId="77777777" w:rsidR="00B01DEB" w:rsidRPr="00322AEF" w:rsidRDefault="00B01DEB" w:rsidP="00D64420">
            <w:pPr>
              <w:pStyle w:val="Default"/>
              <w:jc w:val="both"/>
              <w:rPr>
                <w:sz w:val="18"/>
                <w:szCs w:val="18"/>
              </w:rPr>
            </w:pPr>
          </w:p>
          <w:p w14:paraId="27B4C150" w14:textId="13F20E22" w:rsidR="00D64420" w:rsidRPr="00322AEF" w:rsidRDefault="00D64420" w:rsidP="00845CD1">
            <w:pPr>
              <w:pStyle w:val="Default"/>
              <w:numPr>
                <w:ilvl w:val="0"/>
                <w:numId w:val="3"/>
              </w:numPr>
              <w:jc w:val="both"/>
              <w:rPr>
                <w:sz w:val="18"/>
                <w:szCs w:val="18"/>
              </w:rPr>
            </w:pPr>
            <w:r w:rsidRPr="00322AEF">
              <w:rPr>
                <w:sz w:val="18"/>
                <w:szCs w:val="18"/>
              </w:rPr>
              <w:t>És objectivament constatable per la mera comparació documental</w:t>
            </w:r>
            <w:r w:rsidR="00845CD1" w:rsidRPr="00322AEF">
              <w:rPr>
                <w:sz w:val="18"/>
                <w:szCs w:val="18"/>
              </w:rPr>
              <w:t>,</w:t>
            </w:r>
          </w:p>
          <w:p w14:paraId="5C68CF09" w14:textId="4814F396" w:rsidR="00D64420" w:rsidRPr="00322AEF" w:rsidRDefault="00D64420" w:rsidP="00845CD1">
            <w:pPr>
              <w:pStyle w:val="Default"/>
              <w:numPr>
                <w:ilvl w:val="0"/>
                <w:numId w:val="3"/>
              </w:numPr>
              <w:jc w:val="both"/>
              <w:rPr>
                <w:sz w:val="18"/>
                <w:szCs w:val="18"/>
              </w:rPr>
            </w:pPr>
            <w:r w:rsidRPr="00322AEF">
              <w:rPr>
                <w:sz w:val="18"/>
                <w:szCs w:val="18"/>
              </w:rPr>
              <w:t>No implica cap judici de valor ni discrecionalitat administrativa</w:t>
            </w:r>
            <w:r w:rsidR="00845CD1" w:rsidRPr="00322AEF">
              <w:rPr>
                <w:sz w:val="18"/>
                <w:szCs w:val="18"/>
              </w:rPr>
              <w:t>,</w:t>
            </w:r>
            <w:r w:rsidRPr="00322AEF">
              <w:rPr>
                <w:sz w:val="18"/>
                <w:szCs w:val="18"/>
              </w:rPr>
              <w:t xml:space="preserve">  </w:t>
            </w:r>
          </w:p>
          <w:p w14:paraId="3BDB7638" w14:textId="66D19509" w:rsidR="00D64420" w:rsidRPr="00322AEF" w:rsidRDefault="00D64420" w:rsidP="00845CD1">
            <w:pPr>
              <w:pStyle w:val="Default"/>
              <w:numPr>
                <w:ilvl w:val="0"/>
                <w:numId w:val="3"/>
              </w:numPr>
              <w:jc w:val="both"/>
              <w:rPr>
                <w:sz w:val="18"/>
                <w:szCs w:val="18"/>
              </w:rPr>
            </w:pPr>
            <w:r w:rsidRPr="00322AEF">
              <w:rPr>
                <w:sz w:val="18"/>
                <w:szCs w:val="18"/>
              </w:rPr>
              <w:t>És aliè a la voluntat de les empreses licitadores</w:t>
            </w:r>
            <w:r w:rsidR="00845CD1" w:rsidRPr="00322AEF">
              <w:rPr>
                <w:sz w:val="18"/>
                <w:szCs w:val="18"/>
              </w:rPr>
              <w:t>,</w:t>
            </w:r>
          </w:p>
          <w:p w14:paraId="6D531609" w14:textId="114F686B" w:rsidR="00D64420" w:rsidRPr="00322AEF" w:rsidRDefault="00D64420" w:rsidP="00845CD1">
            <w:pPr>
              <w:pStyle w:val="Default"/>
              <w:numPr>
                <w:ilvl w:val="0"/>
                <w:numId w:val="3"/>
              </w:numPr>
              <w:jc w:val="both"/>
              <w:rPr>
                <w:sz w:val="18"/>
                <w:szCs w:val="18"/>
              </w:rPr>
            </w:pPr>
            <w:r w:rsidRPr="00322AEF">
              <w:rPr>
                <w:sz w:val="18"/>
                <w:szCs w:val="18"/>
              </w:rPr>
              <w:t>No els és imputable en cap cas</w:t>
            </w:r>
            <w:r w:rsidR="00845CD1" w:rsidRPr="00322AEF">
              <w:rPr>
                <w:sz w:val="18"/>
                <w:szCs w:val="18"/>
              </w:rPr>
              <w:t>.</w:t>
            </w:r>
          </w:p>
          <w:p w14:paraId="2781535A" w14:textId="77777777" w:rsidR="00D64420" w:rsidRPr="00322AEF" w:rsidRDefault="00D64420" w:rsidP="00D64420">
            <w:pPr>
              <w:pStyle w:val="Default"/>
              <w:jc w:val="both"/>
              <w:rPr>
                <w:sz w:val="18"/>
                <w:szCs w:val="18"/>
              </w:rPr>
            </w:pPr>
          </w:p>
          <w:p w14:paraId="276775BE" w14:textId="5FF32460" w:rsidR="00D64420" w:rsidRPr="00322AEF" w:rsidRDefault="00D64420" w:rsidP="00D64420">
            <w:pPr>
              <w:pStyle w:val="Default"/>
              <w:jc w:val="both"/>
              <w:rPr>
                <w:b/>
                <w:bCs/>
                <w:sz w:val="18"/>
                <w:szCs w:val="18"/>
              </w:rPr>
            </w:pPr>
            <w:r w:rsidRPr="00322AEF">
              <w:rPr>
                <w:b/>
                <w:bCs/>
                <w:sz w:val="18"/>
                <w:szCs w:val="18"/>
              </w:rPr>
              <w:t>Segon. Principis de concurrència, igualtat i no discriminació</w:t>
            </w:r>
          </w:p>
          <w:p w14:paraId="471CCFE4" w14:textId="77777777" w:rsidR="00D64420" w:rsidRPr="00322AEF" w:rsidRDefault="00D64420" w:rsidP="00D64420">
            <w:pPr>
              <w:pStyle w:val="Default"/>
              <w:jc w:val="both"/>
              <w:rPr>
                <w:sz w:val="18"/>
                <w:szCs w:val="18"/>
              </w:rPr>
            </w:pPr>
          </w:p>
          <w:p w14:paraId="37603DD0" w14:textId="77777777" w:rsidR="00D64420" w:rsidRPr="00322AEF" w:rsidRDefault="00D64420" w:rsidP="00D64420">
            <w:pPr>
              <w:pStyle w:val="Default"/>
              <w:jc w:val="both"/>
              <w:rPr>
                <w:sz w:val="18"/>
                <w:szCs w:val="18"/>
              </w:rPr>
            </w:pPr>
            <w:r w:rsidRPr="00322AEF">
              <w:rPr>
                <w:sz w:val="18"/>
                <w:szCs w:val="18"/>
              </w:rPr>
              <w:t>L'article 1 de la Llei 9/2017, de 8 de novembre, de Contractes del Sector Públic (LCSP), estableix que la contractació pública ha de respectar els principis de llibertat d'accés a les licitacions, publicitat i transparència dels procediments, no discriminació i igualtat de tracte entre els candidats, i salvaguarda de la lliure competència.</w:t>
            </w:r>
          </w:p>
          <w:p w14:paraId="02302231" w14:textId="77777777" w:rsidR="00D64420" w:rsidRPr="00322AEF" w:rsidRDefault="00D64420" w:rsidP="00D64420">
            <w:pPr>
              <w:pStyle w:val="Default"/>
              <w:jc w:val="both"/>
              <w:rPr>
                <w:sz w:val="18"/>
                <w:szCs w:val="18"/>
              </w:rPr>
            </w:pPr>
          </w:p>
          <w:p w14:paraId="0B9C6C2C" w14:textId="77777777" w:rsidR="00D64420" w:rsidRPr="00322AEF" w:rsidRDefault="00D64420" w:rsidP="00D64420">
            <w:pPr>
              <w:pStyle w:val="Default"/>
              <w:jc w:val="both"/>
              <w:rPr>
                <w:sz w:val="18"/>
                <w:szCs w:val="18"/>
              </w:rPr>
            </w:pPr>
            <w:r w:rsidRPr="00322AEF">
              <w:rPr>
                <w:sz w:val="18"/>
                <w:szCs w:val="18"/>
              </w:rPr>
              <w:t>L'article 132 LCSP exigeix que els òrgans de contractació tractin els operadors econòmics en peu d'igualtat i sense discriminació, i actuïn de manera transparent i proporcionada.</w:t>
            </w:r>
          </w:p>
          <w:p w14:paraId="0AEE9A93" w14:textId="77777777" w:rsidR="00D64420" w:rsidRPr="00322AEF" w:rsidRDefault="00D64420" w:rsidP="00D64420">
            <w:pPr>
              <w:pStyle w:val="Default"/>
              <w:jc w:val="both"/>
              <w:rPr>
                <w:sz w:val="18"/>
                <w:szCs w:val="18"/>
              </w:rPr>
            </w:pPr>
          </w:p>
          <w:p w14:paraId="7EACA18D" w14:textId="35435085" w:rsidR="00D64420" w:rsidRPr="00322AEF" w:rsidRDefault="00D64420" w:rsidP="00D64420">
            <w:pPr>
              <w:pStyle w:val="Default"/>
              <w:jc w:val="both"/>
              <w:rPr>
                <w:sz w:val="18"/>
                <w:szCs w:val="18"/>
              </w:rPr>
            </w:pPr>
            <w:r w:rsidRPr="00322AEF">
              <w:rPr>
                <w:sz w:val="18"/>
                <w:szCs w:val="18"/>
              </w:rPr>
              <w:t xml:space="preserve">Mantenir un termini de 4 dies hàbils quan el PCAP </w:t>
            </w:r>
            <w:r w:rsidR="001767BA">
              <w:rPr>
                <w:sz w:val="18"/>
                <w:szCs w:val="18"/>
              </w:rPr>
              <w:t xml:space="preserve">de l’Acord marc </w:t>
            </w:r>
            <w:r w:rsidRPr="00322AEF">
              <w:rPr>
                <w:sz w:val="18"/>
                <w:szCs w:val="18"/>
              </w:rPr>
              <w:t>en preveu 10 suposaria:</w:t>
            </w:r>
          </w:p>
          <w:p w14:paraId="6235180C" w14:textId="77777777" w:rsidR="002D5300" w:rsidRPr="00322AEF" w:rsidRDefault="002D5300" w:rsidP="00D64420">
            <w:pPr>
              <w:pStyle w:val="Default"/>
              <w:jc w:val="both"/>
              <w:rPr>
                <w:sz w:val="18"/>
                <w:szCs w:val="18"/>
              </w:rPr>
            </w:pPr>
          </w:p>
          <w:p w14:paraId="3FBE9CF4" w14:textId="6FA1059E" w:rsidR="00D64420" w:rsidRPr="00322AEF" w:rsidRDefault="00D64420" w:rsidP="002D5300">
            <w:pPr>
              <w:pStyle w:val="Default"/>
              <w:numPr>
                <w:ilvl w:val="0"/>
                <w:numId w:val="3"/>
              </w:numPr>
              <w:jc w:val="both"/>
              <w:rPr>
                <w:sz w:val="18"/>
                <w:szCs w:val="18"/>
              </w:rPr>
            </w:pPr>
            <w:r w:rsidRPr="00322AEF">
              <w:rPr>
                <w:sz w:val="18"/>
                <w:szCs w:val="18"/>
              </w:rPr>
              <w:t xml:space="preserve">Una limitació injustificada de la concurrència, impedint a una de les cinc empreses </w:t>
            </w:r>
            <w:r w:rsidR="002F7570">
              <w:rPr>
                <w:sz w:val="18"/>
                <w:szCs w:val="18"/>
              </w:rPr>
              <w:t xml:space="preserve">homologades </w:t>
            </w:r>
            <w:r w:rsidRPr="00322AEF">
              <w:rPr>
                <w:sz w:val="18"/>
                <w:szCs w:val="18"/>
              </w:rPr>
              <w:t xml:space="preserve">del lot </w:t>
            </w:r>
            <w:r w:rsidR="002F7570">
              <w:rPr>
                <w:sz w:val="18"/>
                <w:szCs w:val="18"/>
              </w:rPr>
              <w:t xml:space="preserve">1 </w:t>
            </w:r>
            <w:r w:rsidRPr="00322AEF">
              <w:rPr>
                <w:sz w:val="18"/>
                <w:szCs w:val="18"/>
              </w:rPr>
              <w:t>exercir el seu dret a presentar oferta</w:t>
            </w:r>
            <w:r w:rsidR="002D5300" w:rsidRPr="00322AEF">
              <w:rPr>
                <w:sz w:val="18"/>
                <w:szCs w:val="18"/>
              </w:rPr>
              <w:t>,</w:t>
            </w:r>
          </w:p>
          <w:p w14:paraId="0E9823D2" w14:textId="2E1414A6" w:rsidR="00D64420" w:rsidRPr="00322AEF" w:rsidRDefault="00D64420" w:rsidP="002D5300">
            <w:pPr>
              <w:pStyle w:val="Default"/>
              <w:numPr>
                <w:ilvl w:val="0"/>
                <w:numId w:val="3"/>
              </w:numPr>
              <w:jc w:val="both"/>
              <w:rPr>
                <w:sz w:val="18"/>
                <w:szCs w:val="18"/>
              </w:rPr>
            </w:pPr>
            <w:r w:rsidRPr="00322AEF">
              <w:rPr>
                <w:sz w:val="18"/>
                <w:szCs w:val="18"/>
              </w:rPr>
              <w:t>Una vulneració del principi d'igualtat, en situar en desavantatge una empresa que confia legítimament en el termini del PCAP de l'Acord marc</w:t>
            </w:r>
            <w:r w:rsidR="002D5300" w:rsidRPr="00322AEF">
              <w:rPr>
                <w:sz w:val="18"/>
                <w:szCs w:val="18"/>
              </w:rPr>
              <w:t>,</w:t>
            </w:r>
          </w:p>
          <w:p w14:paraId="7DA2E755" w14:textId="5368DD53" w:rsidR="00D64420" w:rsidRPr="00322AEF" w:rsidRDefault="00D64420" w:rsidP="002D5300">
            <w:pPr>
              <w:pStyle w:val="Default"/>
              <w:numPr>
                <w:ilvl w:val="0"/>
                <w:numId w:val="3"/>
              </w:numPr>
              <w:jc w:val="both"/>
              <w:rPr>
                <w:sz w:val="18"/>
                <w:szCs w:val="18"/>
              </w:rPr>
            </w:pPr>
            <w:r w:rsidRPr="00322AEF">
              <w:rPr>
                <w:sz w:val="18"/>
                <w:szCs w:val="18"/>
              </w:rPr>
              <w:t>Una aplicació incorrecta de les normes de l'Acord marc que regeixen el contracte basat</w:t>
            </w:r>
            <w:r w:rsidR="002D5300" w:rsidRPr="00322AEF">
              <w:rPr>
                <w:sz w:val="18"/>
                <w:szCs w:val="18"/>
              </w:rPr>
              <w:t>.</w:t>
            </w:r>
          </w:p>
          <w:p w14:paraId="6D91A2FC" w14:textId="77777777" w:rsidR="00D64420" w:rsidRPr="00322AEF" w:rsidRDefault="00D64420" w:rsidP="00D64420">
            <w:pPr>
              <w:pStyle w:val="Default"/>
              <w:jc w:val="both"/>
              <w:rPr>
                <w:sz w:val="18"/>
                <w:szCs w:val="18"/>
              </w:rPr>
            </w:pPr>
          </w:p>
          <w:p w14:paraId="0726882C" w14:textId="2B2CDE9A" w:rsidR="00D64420" w:rsidRPr="00322AEF" w:rsidRDefault="00D64420" w:rsidP="00D64420">
            <w:pPr>
              <w:pStyle w:val="Default"/>
              <w:jc w:val="both"/>
              <w:rPr>
                <w:b/>
                <w:bCs/>
                <w:sz w:val="18"/>
                <w:szCs w:val="18"/>
              </w:rPr>
            </w:pPr>
            <w:r w:rsidRPr="00322AEF">
              <w:rPr>
                <w:b/>
                <w:bCs/>
                <w:sz w:val="18"/>
                <w:szCs w:val="18"/>
              </w:rPr>
              <w:t>Tercer. Preservació del secret de les ofertes</w:t>
            </w:r>
          </w:p>
          <w:p w14:paraId="6C42C5BE" w14:textId="77777777" w:rsidR="00D64420" w:rsidRPr="00322AEF" w:rsidRDefault="00D64420" w:rsidP="00D64420">
            <w:pPr>
              <w:pStyle w:val="Default"/>
              <w:jc w:val="both"/>
              <w:rPr>
                <w:sz w:val="18"/>
                <w:szCs w:val="18"/>
              </w:rPr>
            </w:pPr>
          </w:p>
          <w:p w14:paraId="58A8E7FB" w14:textId="3F547F38" w:rsidR="00D64420" w:rsidRPr="00322AEF" w:rsidRDefault="00D64420" w:rsidP="00D64420">
            <w:pPr>
              <w:pStyle w:val="Default"/>
              <w:jc w:val="both"/>
              <w:rPr>
                <w:sz w:val="18"/>
                <w:szCs w:val="18"/>
              </w:rPr>
            </w:pPr>
            <w:r w:rsidRPr="00322AEF">
              <w:rPr>
                <w:sz w:val="18"/>
                <w:szCs w:val="18"/>
              </w:rPr>
              <w:t>L'article 139.</w:t>
            </w:r>
            <w:r w:rsidR="006D0943">
              <w:rPr>
                <w:sz w:val="18"/>
                <w:szCs w:val="18"/>
              </w:rPr>
              <w:t>2</w:t>
            </w:r>
            <w:r w:rsidRPr="00322AEF">
              <w:rPr>
                <w:sz w:val="18"/>
                <w:szCs w:val="18"/>
              </w:rPr>
              <w:t xml:space="preserve"> LCSP estableix que les ofertes presentades pels licitadors són secretes fins al moment de la seva obertura pública en acte públic o mitjançant la utilització de mitjans electrònics.</w:t>
            </w:r>
          </w:p>
          <w:p w14:paraId="62D87FFE" w14:textId="77777777" w:rsidR="00D64420" w:rsidRPr="00322AEF" w:rsidRDefault="00D64420" w:rsidP="00D64420">
            <w:pPr>
              <w:pStyle w:val="Default"/>
              <w:jc w:val="both"/>
              <w:rPr>
                <w:sz w:val="18"/>
                <w:szCs w:val="18"/>
              </w:rPr>
            </w:pPr>
          </w:p>
          <w:p w14:paraId="26B31E20" w14:textId="77777777" w:rsidR="00D64420" w:rsidRDefault="00D64420" w:rsidP="00D64420">
            <w:pPr>
              <w:pStyle w:val="Default"/>
              <w:jc w:val="both"/>
              <w:rPr>
                <w:sz w:val="18"/>
                <w:szCs w:val="18"/>
              </w:rPr>
            </w:pPr>
            <w:r w:rsidRPr="00322AEF">
              <w:rPr>
                <w:sz w:val="18"/>
                <w:szCs w:val="18"/>
              </w:rPr>
              <w:t>En el cas present:</w:t>
            </w:r>
          </w:p>
          <w:p w14:paraId="613244B7" w14:textId="77777777" w:rsidR="00DF131B" w:rsidRPr="00322AEF" w:rsidRDefault="00DF131B" w:rsidP="00D64420">
            <w:pPr>
              <w:pStyle w:val="Default"/>
              <w:jc w:val="both"/>
              <w:rPr>
                <w:sz w:val="18"/>
                <w:szCs w:val="18"/>
              </w:rPr>
            </w:pPr>
          </w:p>
          <w:p w14:paraId="409765DA" w14:textId="37A3F23C" w:rsidR="00D64420" w:rsidRPr="00322AEF" w:rsidRDefault="00D64420" w:rsidP="00CF4018">
            <w:pPr>
              <w:pStyle w:val="Default"/>
              <w:numPr>
                <w:ilvl w:val="0"/>
                <w:numId w:val="3"/>
              </w:numPr>
              <w:jc w:val="both"/>
              <w:rPr>
                <w:sz w:val="18"/>
                <w:szCs w:val="18"/>
              </w:rPr>
            </w:pPr>
            <w:r w:rsidRPr="00322AEF">
              <w:rPr>
                <w:sz w:val="18"/>
                <w:szCs w:val="18"/>
              </w:rPr>
              <w:t>Les quatre ofertes presentades no han estat obertes</w:t>
            </w:r>
            <w:r w:rsidR="00CF4018" w:rsidRPr="00322AEF">
              <w:rPr>
                <w:sz w:val="18"/>
                <w:szCs w:val="18"/>
              </w:rPr>
              <w:t>,</w:t>
            </w:r>
          </w:p>
          <w:p w14:paraId="0B2B26D4" w14:textId="2790C7C8" w:rsidR="00D64420" w:rsidRPr="00322AEF" w:rsidRDefault="00D64420" w:rsidP="00CF4018">
            <w:pPr>
              <w:pStyle w:val="Default"/>
              <w:numPr>
                <w:ilvl w:val="0"/>
                <w:numId w:val="3"/>
              </w:numPr>
              <w:jc w:val="both"/>
              <w:rPr>
                <w:sz w:val="18"/>
                <w:szCs w:val="18"/>
              </w:rPr>
            </w:pPr>
            <w:r w:rsidRPr="00322AEF">
              <w:rPr>
                <w:sz w:val="18"/>
                <w:szCs w:val="18"/>
              </w:rPr>
              <w:t xml:space="preserve">Es mantenen sota custòdia electrònica amb sistemes que garanteixen </w:t>
            </w:r>
            <w:proofErr w:type="spellStart"/>
            <w:r w:rsidRPr="00322AEF">
              <w:rPr>
                <w:sz w:val="18"/>
                <w:szCs w:val="18"/>
              </w:rPr>
              <w:t>criptogràficament</w:t>
            </w:r>
            <w:proofErr w:type="spellEnd"/>
            <w:r w:rsidRPr="00322AEF">
              <w:rPr>
                <w:sz w:val="18"/>
                <w:szCs w:val="18"/>
              </w:rPr>
              <w:t xml:space="preserve"> el secret del seu contingut</w:t>
            </w:r>
            <w:r w:rsidR="00CF4018" w:rsidRPr="00322AEF">
              <w:rPr>
                <w:sz w:val="18"/>
                <w:szCs w:val="18"/>
              </w:rPr>
              <w:t>,</w:t>
            </w:r>
          </w:p>
          <w:p w14:paraId="117D4333" w14:textId="784D1147" w:rsidR="00D64420" w:rsidRPr="00322AEF" w:rsidRDefault="00D64420" w:rsidP="00CF4018">
            <w:pPr>
              <w:pStyle w:val="Default"/>
              <w:numPr>
                <w:ilvl w:val="0"/>
                <w:numId w:val="3"/>
              </w:numPr>
              <w:jc w:val="both"/>
              <w:rPr>
                <w:sz w:val="18"/>
                <w:szCs w:val="18"/>
              </w:rPr>
            </w:pPr>
            <w:r w:rsidRPr="00322AEF">
              <w:rPr>
                <w:sz w:val="18"/>
                <w:szCs w:val="18"/>
              </w:rPr>
              <w:t>La plataforma electrònica genera evidència inequívoca de les dates i hores de presentació i obertura</w:t>
            </w:r>
            <w:r w:rsidR="00CF4018" w:rsidRPr="00322AEF">
              <w:rPr>
                <w:sz w:val="18"/>
                <w:szCs w:val="18"/>
              </w:rPr>
              <w:t>,</w:t>
            </w:r>
          </w:p>
          <w:p w14:paraId="0D87A724" w14:textId="6B64C546" w:rsidR="00D64420" w:rsidRPr="00322AEF" w:rsidRDefault="00D64420" w:rsidP="00CF4018">
            <w:pPr>
              <w:pStyle w:val="Default"/>
              <w:numPr>
                <w:ilvl w:val="0"/>
                <w:numId w:val="3"/>
              </w:numPr>
              <w:jc w:val="both"/>
              <w:rPr>
                <w:sz w:val="18"/>
                <w:szCs w:val="18"/>
              </w:rPr>
            </w:pPr>
            <w:r w:rsidRPr="00322AEF">
              <w:rPr>
                <w:sz w:val="18"/>
                <w:szCs w:val="18"/>
              </w:rPr>
              <w:t>No s'ha produït cap vulneració del secret de les ofertes</w:t>
            </w:r>
            <w:r w:rsidR="00CF4018" w:rsidRPr="00322AEF">
              <w:rPr>
                <w:sz w:val="18"/>
                <w:szCs w:val="18"/>
              </w:rPr>
              <w:t>.</w:t>
            </w:r>
          </w:p>
          <w:p w14:paraId="2823B89E" w14:textId="77777777" w:rsidR="00D64420" w:rsidRPr="00322AEF" w:rsidRDefault="00D64420" w:rsidP="00D64420">
            <w:pPr>
              <w:pStyle w:val="Default"/>
              <w:jc w:val="both"/>
              <w:rPr>
                <w:sz w:val="18"/>
                <w:szCs w:val="18"/>
              </w:rPr>
            </w:pPr>
          </w:p>
          <w:p w14:paraId="7D6E4323" w14:textId="77777777" w:rsidR="00D64420" w:rsidRPr="00322AEF" w:rsidRDefault="00D64420" w:rsidP="00D64420">
            <w:pPr>
              <w:pStyle w:val="Default"/>
              <w:jc w:val="both"/>
              <w:rPr>
                <w:sz w:val="18"/>
                <w:szCs w:val="18"/>
              </w:rPr>
            </w:pPr>
            <w:r w:rsidRPr="00322AEF">
              <w:rPr>
                <w:sz w:val="18"/>
                <w:szCs w:val="18"/>
              </w:rPr>
              <w:t>Per tant, l'ampliació del termini no comporta cap avantatge competitiu per a cap licitador, ja que totes les empreses presenten les seves ofertes sense coneixement del contingut de les ofertes de la resta.</w:t>
            </w:r>
          </w:p>
          <w:p w14:paraId="0A128955" w14:textId="77777777" w:rsidR="00D64420" w:rsidRPr="00322AEF" w:rsidRDefault="00D64420" w:rsidP="00D64420">
            <w:pPr>
              <w:pStyle w:val="Default"/>
              <w:jc w:val="both"/>
              <w:rPr>
                <w:sz w:val="18"/>
                <w:szCs w:val="18"/>
              </w:rPr>
            </w:pPr>
          </w:p>
          <w:p w14:paraId="042B3FD9" w14:textId="761709C0" w:rsidR="00D64420" w:rsidRPr="00322AEF" w:rsidRDefault="00D64420" w:rsidP="00D64420">
            <w:pPr>
              <w:pStyle w:val="Default"/>
              <w:jc w:val="both"/>
              <w:rPr>
                <w:b/>
                <w:bCs/>
                <w:sz w:val="18"/>
                <w:szCs w:val="18"/>
              </w:rPr>
            </w:pPr>
            <w:r w:rsidRPr="00322AEF">
              <w:rPr>
                <w:b/>
                <w:bCs/>
                <w:sz w:val="18"/>
                <w:szCs w:val="18"/>
              </w:rPr>
              <w:t>Quart. Proporcionalitat de la mesura</w:t>
            </w:r>
          </w:p>
          <w:p w14:paraId="0A3D23A1" w14:textId="77777777" w:rsidR="00D64420" w:rsidRPr="00322AEF" w:rsidRDefault="00D64420" w:rsidP="00D64420">
            <w:pPr>
              <w:pStyle w:val="Default"/>
              <w:jc w:val="both"/>
              <w:rPr>
                <w:sz w:val="18"/>
                <w:szCs w:val="18"/>
              </w:rPr>
            </w:pPr>
          </w:p>
          <w:p w14:paraId="668C8904" w14:textId="72A95210" w:rsidR="00D64420" w:rsidRDefault="00D64420" w:rsidP="00D64420">
            <w:pPr>
              <w:pStyle w:val="Default"/>
              <w:jc w:val="both"/>
              <w:rPr>
                <w:sz w:val="18"/>
                <w:szCs w:val="18"/>
              </w:rPr>
            </w:pPr>
            <w:r w:rsidRPr="00322AEF">
              <w:rPr>
                <w:sz w:val="18"/>
                <w:szCs w:val="18"/>
              </w:rPr>
              <w:t>L'ampliació del termini fins a completar els 10 dies hàbils previstos a l'Acord marc constitueix la mesura menys restrictiva i més proporcionada per garantir:</w:t>
            </w:r>
          </w:p>
          <w:p w14:paraId="1C2BA911" w14:textId="77777777" w:rsidR="00DF131B" w:rsidRPr="00322AEF" w:rsidRDefault="00DF131B" w:rsidP="00D64420">
            <w:pPr>
              <w:pStyle w:val="Default"/>
              <w:jc w:val="both"/>
              <w:rPr>
                <w:sz w:val="18"/>
                <w:szCs w:val="18"/>
              </w:rPr>
            </w:pPr>
          </w:p>
          <w:p w14:paraId="38713AC4" w14:textId="7D853931" w:rsidR="00D64420" w:rsidRPr="00322AEF" w:rsidRDefault="00D64420" w:rsidP="00EC7E84">
            <w:pPr>
              <w:pStyle w:val="Default"/>
              <w:numPr>
                <w:ilvl w:val="0"/>
                <w:numId w:val="3"/>
              </w:numPr>
              <w:jc w:val="both"/>
              <w:rPr>
                <w:sz w:val="18"/>
                <w:szCs w:val="18"/>
              </w:rPr>
            </w:pPr>
            <w:r w:rsidRPr="00322AEF">
              <w:rPr>
                <w:sz w:val="18"/>
                <w:szCs w:val="18"/>
              </w:rPr>
              <w:t>El compliment de les normes de l'Acord marc</w:t>
            </w:r>
            <w:r w:rsidR="00EC7E84" w:rsidRPr="00322AEF">
              <w:rPr>
                <w:sz w:val="18"/>
                <w:szCs w:val="18"/>
              </w:rPr>
              <w:t>,</w:t>
            </w:r>
          </w:p>
          <w:p w14:paraId="6AE842A6" w14:textId="31406100" w:rsidR="00D64420" w:rsidRPr="00322AEF" w:rsidRDefault="00D64420" w:rsidP="00EC7E84">
            <w:pPr>
              <w:pStyle w:val="Default"/>
              <w:numPr>
                <w:ilvl w:val="0"/>
                <w:numId w:val="3"/>
              </w:numPr>
              <w:jc w:val="both"/>
              <w:rPr>
                <w:sz w:val="18"/>
                <w:szCs w:val="18"/>
              </w:rPr>
            </w:pPr>
            <w:r w:rsidRPr="00322AEF">
              <w:rPr>
                <w:sz w:val="18"/>
                <w:szCs w:val="18"/>
              </w:rPr>
              <w:t xml:space="preserve">El dret de les cinc empreses </w:t>
            </w:r>
            <w:r w:rsidR="002C7F8E">
              <w:rPr>
                <w:sz w:val="18"/>
                <w:szCs w:val="18"/>
              </w:rPr>
              <w:t xml:space="preserve">homologades </w:t>
            </w:r>
            <w:r w:rsidRPr="00322AEF">
              <w:rPr>
                <w:sz w:val="18"/>
                <w:szCs w:val="18"/>
              </w:rPr>
              <w:t>a presentar oferta en condicions d'igualtat</w:t>
            </w:r>
            <w:r w:rsidR="00EC7E84" w:rsidRPr="00322AEF">
              <w:rPr>
                <w:sz w:val="18"/>
                <w:szCs w:val="18"/>
              </w:rPr>
              <w:t>,</w:t>
            </w:r>
          </w:p>
          <w:p w14:paraId="6B51C526" w14:textId="63A8EE48" w:rsidR="00D64420" w:rsidRPr="00322AEF" w:rsidRDefault="00D64420" w:rsidP="00EC7E84">
            <w:pPr>
              <w:pStyle w:val="Default"/>
              <w:numPr>
                <w:ilvl w:val="0"/>
                <w:numId w:val="3"/>
              </w:numPr>
              <w:jc w:val="both"/>
              <w:rPr>
                <w:sz w:val="18"/>
                <w:szCs w:val="18"/>
              </w:rPr>
            </w:pPr>
            <w:r w:rsidRPr="00322AEF">
              <w:rPr>
                <w:sz w:val="18"/>
                <w:szCs w:val="18"/>
              </w:rPr>
              <w:t>La preservació del secret de les ofertes ja presentades</w:t>
            </w:r>
            <w:r w:rsidR="00EC7E84" w:rsidRPr="00322AEF">
              <w:rPr>
                <w:sz w:val="18"/>
                <w:szCs w:val="18"/>
              </w:rPr>
              <w:t>,</w:t>
            </w:r>
          </w:p>
          <w:p w14:paraId="3B0543E8" w14:textId="62CA2E13" w:rsidR="00D64420" w:rsidRPr="00322AEF" w:rsidRDefault="00D64420" w:rsidP="00EC7E84">
            <w:pPr>
              <w:pStyle w:val="Default"/>
              <w:numPr>
                <w:ilvl w:val="0"/>
                <w:numId w:val="3"/>
              </w:numPr>
              <w:jc w:val="both"/>
              <w:rPr>
                <w:sz w:val="18"/>
                <w:szCs w:val="18"/>
              </w:rPr>
            </w:pPr>
            <w:r w:rsidRPr="00322AEF">
              <w:rPr>
                <w:sz w:val="18"/>
                <w:szCs w:val="18"/>
              </w:rPr>
              <w:t>La màxima concurrència possible</w:t>
            </w:r>
            <w:r w:rsidR="00EC7E84" w:rsidRPr="00322AEF">
              <w:rPr>
                <w:sz w:val="18"/>
                <w:szCs w:val="18"/>
              </w:rPr>
              <w:t>.</w:t>
            </w:r>
          </w:p>
          <w:p w14:paraId="540AF3EC" w14:textId="77777777" w:rsidR="00D64420" w:rsidRPr="00322AEF" w:rsidRDefault="00D64420" w:rsidP="00D64420">
            <w:pPr>
              <w:pStyle w:val="Default"/>
              <w:jc w:val="both"/>
              <w:rPr>
                <w:sz w:val="18"/>
                <w:szCs w:val="18"/>
              </w:rPr>
            </w:pPr>
          </w:p>
          <w:p w14:paraId="2604D619" w14:textId="77777777" w:rsidR="00DF131B" w:rsidRDefault="00DF131B" w:rsidP="00D64420">
            <w:pPr>
              <w:pStyle w:val="Default"/>
              <w:jc w:val="both"/>
              <w:rPr>
                <w:sz w:val="18"/>
                <w:szCs w:val="18"/>
              </w:rPr>
            </w:pPr>
          </w:p>
          <w:p w14:paraId="79C2CDBC" w14:textId="77777777" w:rsidR="00DF131B" w:rsidRDefault="00DF131B" w:rsidP="00D64420">
            <w:pPr>
              <w:pStyle w:val="Default"/>
              <w:jc w:val="both"/>
              <w:rPr>
                <w:sz w:val="18"/>
                <w:szCs w:val="18"/>
              </w:rPr>
            </w:pPr>
          </w:p>
          <w:p w14:paraId="433C7A01" w14:textId="22964431" w:rsidR="00D64420" w:rsidRPr="00322AEF" w:rsidRDefault="00D64420" w:rsidP="00D64420">
            <w:pPr>
              <w:pStyle w:val="Default"/>
              <w:jc w:val="both"/>
              <w:rPr>
                <w:sz w:val="18"/>
                <w:szCs w:val="18"/>
              </w:rPr>
            </w:pPr>
            <w:r w:rsidRPr="00322AEF">
              <w:rPr>
                <w:sz w:val="18"/>
                <w:szCs w:val="18"/>
              </w:rPr>
              <w:lastRenderedPageBreak/>
              <w:t>Alternatives com la retroacció de l'expedient o el desistiment, si bé jurídicament viables, serien desproporcionades atenent la quantia del contracte, el manteniment del secret de les ofertes, i l'interès públic en la celeritat i eficiència de la contractació.</w:t>
            </w:r>
          </w:p>
          <w:p w14:paraId="022146F8" w14:textId="77777777" w:rsidR="00D64420" w:rsidRPr="00322AEF" w:rsidRDefault="00D64420" w:rsidP="00D64420">
            <w:pPr>
              <w:pStyle w:val="Default"/>
              <w:jc w:val="both"/>
              <w:rPr>
                <w:sz w:val="18"/>
                <w:szCs w:val="18"/>
              </w:rPr>
            </w:pPr>
          </w:p>
          <w:p w14:paraId="51AC39F6" w14:textId="61820136" w:rsidR="00D64420" w:rsidRPr="00322AEF" w:rsidRDefault="00D64420" w:rsidP="00D64420">
            <w:pPr>
              <w:pStyle w:val="Default"/>
              <w:jc w:val="both"/>
              <w:rPr>
                <w:b/>
                <w:bCs/>
                <w:sz w:val="18"/>
                <w:szCs w:val="18"/>
              </w:rPr>
            </w:pPr>
            <w:r w:rsidRPr="00322AEF">
              <w:rPr>
                <w:b/>
                <w:bCs/>
                <w:sz w:val="18"/>
                <w:szCs w:val="18"/>
              </w:rPr>
              <w:t>Cinquè. Còmput del termini ampliat</w:t>
            </w:r>
          </w:p>
          <w:p w14:paraId="5738701B" w14:textId="77777777" w:rsidR="00D64420" w:rsidRPr="00322AEF" w:rsidRDefault="00D64420" w:rsidP="00D64420">
            <w:pPr>
              <w:pStyle w:val="Default"/>
              <w:jc w:val="both"/>
              <w:rPr>
                <w:sz w:val="18"/>
                <w:szCs w:val="18"/>
              </w:rPr>
            </w:pPr>
          </w:p>
          <w:p w14:paraId="274F9E1A" w14:textId="2872F7B0" w:rsidR="00D64420" w:rsidRPr="00322AEF" w:rsidRDefault="00D64420" w:rsidP="00D64420">
            <w:pPr>
              <w:pStyle w:val="Default"/>
              <w:jc w:val="both"/>
              <w:rPr>
                <w:sz w:val="18"/>
                <w:szCs w:val="18"/>
              </w:rPr>
            </w:pPr>
            <w:r w:rsidRPr="00322AEF">
              <w:rPr>
                <w:sz w:val="18"/>
                <w:szCs w:val="18"/>
              </w:rPr>
              <w:t xml:space="preserve">Havent-se publicat la licitació el 26 de novembre de 2025, el termini de 10 dies hàbils finalitza el dia 11 de desembre de 2025 a les </w:t>
            </w:r>
            <w:r w:rsidR="006E13C5" w:rsidRPr="00322AEF">
              <w:rPr>
                <w:sz w:val="18"/>
                <w:szCs w:val="18"/>
              </w:rPr>
              <w:t>1</w:t>
            </w:r>
            <w:r w:rsidR="008A6255">
              <w:rPr>
                <w:sz w:val="18"/>
                <w:szCs w:val="18"/>
              </w:rPr>
              <w:t>8</w:t>
            </w:r>
            <w:r w:rsidRPr="00322AEF">
              <w:rPr>
                <w:sz w:val="18"/>
                <w:szCs w:val="18"/>
              </w:rPr>
              <w:t>:</w:t>
            </w:r>
            <w:r w:rsidR="008A6255">
              <w:rPr>
                <w:sz w:val="18"/>
                <w:szCs w:val="18"/>
              </w:rPr>
              <w:t>30</w:t>
            </w:r>
            <w:r w:rsidRPr="00322AEF">
              <w:rPr>
                <w:sz w:val="18"/>
                <w:szCs w:val="18"/>
              </w:rPr>
              <w:t xml:space="preserve"> hores.</w:t>
            </w:r>
          </w:p>
          <w:p w14:paraId="11311A61" w14:textId="77777777" w:rsidR="006E13C5" w:rsidRPr="00322AEF" w:rsidRDefault="006E13C5" w:rsidP="00D64420">
            <w:pPr>
              <w:pStyle w:val="Default"/>
              <w:jc w:val="both"/>
              <w:rPr>
                <w:sz w:val="18"/>
                <w:szCs w:val="18"/>
              </w:rPr>
            </w:pPr>
          </w:p>
          <w:p w14:paraId="3471079D" w14:textId="3AD039BB" w:rsidR="00D64420" w:rsidRPr="00322AEF" w:rsidRDefault="00D64420" w:rsidP="00D64420">
            <w:pPr>
              <w:pStyle w:val="Default"/>
              <w:jc w:val="both"/>
              <w:rPr>
                <w:sz w:val="18"/>
                <w:szCs w:val="18"/>
              </w:rPr>
            </w:pPr>
            <w:r w:rsidRPr="00322AEF">
              <w:rPr>
                <w:sz w:val="18"/>
                <w:szCs w:val="18"/>
              </w:rPr>
              <w:t>Per tant, aquesta resolució s'adopta dins del termini de 10 dies hàbils establert a la clàusula trenta-setena del PCAP de l'Acord marc, cosa que reforça la regularitat de la present actuació administrativa.</w:t>
            </w:r>
          </w:p>
          <w:p w14:paraId="6F3DE667" w14:textId="77777777" w:rsidR="00D64420" w:rsidRPr="00322AEF" w:rsidRDefault="00D64420" w:rsidP="00D64420">
            <w:pPr>
              <w:pStyle w:val="Default"/>
              <w:jc w:val="both"/>
              <w:rPr>
                <w:sz w:val="18"/>
                <w:szCs w:val="18"/>
              </w:rPr>
            </w:pPr>
          </w:p>
          <w:p w14:paraId="11945538" w14:textId="77777777" w:rsidR="003250AA" w:rsidRPr="00322AEF" w:rsidRDefault="003250AA" w:rsidP="00D64420">
            <w:pPr>
              <w:pStyle w:val="Default"/>
              <w:jc w:val="both"/>
              <w:rPr>
                <w:sz w:val="18"/>
                <w:szCs w:val="18"/>
              </w:rPr>
            </w:pPr>
          </w:p>
          <w:p w14:paraId="2A2F7290" w14:textId="24DB8484" w:rsidR="00923967" w:rsidRPr="00322AEF" w:rsidRDefault="00D64420" w:rsidP="00D64420">
            <w:pPr>
              <w:pStyle w:val="Default"/>
              <w:jc w:val="both"/>
              <w:rPr>
                <w:sz w:val="18"/>
                <w:szCs w:val="18"/>
              </w:rPr>
            </w:pPr>
            <w:r w:rsidRPr="00322AEF">
              <w:rPr>
                <w:sz w:val="18"/>
                <w:szCs w:val="18"/>
              </w:rPr>
              <w:t>En ús</w:t>
            </w:r>
            <w:r w:rsidR="00923967" w:rsidRPr="00322AEF">
              <w:rPr>
                <w:sz w:val="18"/>
                <w:szCs w:val="18"/>
              </w:rPr>
              <w:t xml:space="preserve"> de les facultats conferides a l’article 16.1 dels Estatuts del Consorci MACBA</w:t>
            </w:r>
            <w:r w:rsidR="00054AC8">
              <w:rPr>
                <w:sz w:val="18"/>
                <w:szCs w:val="18"/>
              </w:rPr>
              <w:t>,</w:t>
            </w:r>
          </w:p>
          <w:p w14:paraId="455EF858" w14:textId="77777777" w:rsidR="00923967" w:rsidRPr="00322AEF" w:rsidRDefault="00923967" w:rsidP="00D64420">
            <w:pPr>
              <w:pStyle w:val="Default"/>
              <w:jc w:val="both"/>
              <w:rPr>
                <w:sz w:val="18"/>
                <w:szCs w:val="18"/>
              </w:rPr>
            </w:pPr>
          </w:p>
          <w:p w14:paraId="46BC9A4D" w14:textId="578DFBD8" w:rsidR="00D64420" w:rsidRPr="00322AEF" w:rsidRDefault="00D64420" w:rsidP="00D64420">
            <w:pPr>
              <w:pStyle w:val="Default"/>
              <w:jc w:val="both"/>
              <w:rPr>
                <w:b/>
                <w:bCs/>
                <w:sz w:val="18"/>
                <w:szCs w:val="18"/>
              </w:rPr>
            </w:pPr>
            <w:r w:rsidRPr="00322AEF">
              <w:rPr>
                <w:b/>
                <w:bCs/>
                <w:sz w:val="18"/>
                <w:szCs w:val="18"/>
              </w:rPr>
              <w:t>RESOLC</w:t>
            </w:r>
          </w:p>
          <w:p w14:paraId="4C785536" w14:textId="77777777" w:rsidR="00D64420" w:rsidRPr="00322AEF" w:rsidRDefault="00D64420" w:rsidP="00D64420">
            <w:pPr>
              <w:pStyle w:val="Default"/>
              <w:jc w:val="both"/>
              <w:rPr>
                <w:sz w:val="18"/>
                <w:szCs w:val="18"/>
              </w:rPr>
            </w:pPr>
          </w:p>
          <w:p w14:paraId="3F69DF45" w14:textId="6E79350B" w:rsidR="00D64420" w:rsidRPr="00322AEF" w:rsidRDefault="00D64420" w:rsidP="00D64420">
            <w:pPr>
              <w:pStyle w:val="Default"/>
              <w:jc w:val="both"/>
              <w:rPr>
                <w:sz w:val="18"/>
                <w:szCs w:val="18"/>
              </w:rPr>
            </w:pPr>
            <w:r w:rsidRPr="00322AEF">
              <w:rPr>
                <w:b/>
                <w:bCs/>
                <w:sz w:val="18"/>
                <w:szCs w:val="18"/>
              </w:rPr>
              <w:t>Primer</w:t>
            </w:r>
            <w:r w:rsidRPr="00322AEF">
              <w:rPr>
                <w:sz w:val="18"/>
                <w:szCs w:val="18"/>
              </w:rPr>
              <w:t>. Rectificar l'error material de transcripció detectat en la publicació de la licitació del contracte basat AM2025-03.D1, de conformitat amb l'article 109.2 de la Llei 39/2015, d'1 d'octubre, del Procediment Administratiu Comú de les Administracions Públiques.</w:t>
            </w:r>
          </w:p>
          <w:p w14:paraId="5BA72E0F" w14:textId="77777777" w:rsidR="00D64420" w:rsidRPr="00322AEF" w:rsidRDefault="00D64420" w:rsidP="00D64420">
            <w:pPr>
              <w:pStyle w:val="Default"/>
              <w:jc w:val="both"/>
              <w:rPr>
                <w:sz w:val="18"/>
                <w:szCs w:val="18"/>
              </w:rPr>
            </w:pPr>
          </w:p>
          <w:p w14:paraId="379EE70B" w14:textId="3AA2D49D" w:rsidR="00D64420" w:rsidRPr="00322AEF" w:rsidRDefault="00D64420" w:rsidP="00D64420">
            <w:pPr>
              <w:pStyle w:val="Default"/>
              <w:jc w:val="both"/>
              <w:rPr>
                <w:sz w:val="18"/>
                <w:szCs w:val="18"/>
              </w:rPr>
            </w:pPr>
            <w:r w:rsidRPr="00322AEF">
              <w:rPr>
                <w:b/>
                <w:bCs/>
                <w:sz w:val="18"/>
                <w:szCs w:val="18"/>
              </w:rPr>
              <w:t>Segon</w:t>
            </w:r>
            <w:r w:rsidRPr="00322AEF">
              <w:rPr>
                <w:sz w:val="18"/>
                <w:szCs w:val="18"/>
              </w:rPr>
              <w:t xml:space="preserve">. Ampliar el termini per a la presentació d'ofertes del contracte basat AM2025-03.D1 (lot 1 "Contractes Microsoft per a petits comptes" de l'Acord marc de subministrament de llicències Microsoft del Consorci </w:t>
            </w:r>
            <w:proofErr w:type="spellStart"/>
            <w:r w:rsidRPr="00322AEF">
              <w:rPr>
                <w:sz w:val="18"/>
                <w:szCs w:val="18"/>
              </w:rPr>
              <w:t>Localret</w:t>
            </w:r>
            <w:proofErr w:type="spellEnd"/>
            <w:r w:rsidRPr="00322AEF">
              <w:rPr>
                <w:sz w:val="18"/>
                <w:szCs w:val="18"/>
              </w:rPr>
              <w:t xml:space="preserve">, expedient 1431-0019/2023) fins al dia 11 de desembre de 2025 a les </w:t>
            </w:r>
            <w:r w:rsidR="003250AA" w:rsidRPr="00322AEF">
              <w:rPr>
                <w:sz w:val="18"/>
                <w:szCs w:val="18"/>
              </w:rPr>
              <w:t>18</w:t>
            </w:r>
            <w:r w:rsidRPr="00322AEF">
              <w:rPr>
                <w:sz w:val="18"/>
                <w:szCs w:val="18"/>
              </w:rPr>
              <w:t>:</w:t>
            </w:r>
            <w:r w:rsidR="003250AA" w:rsidRPr="00322AEF">
              <w:rPr>
                <w:sz w:val="18"/>
                <w:szCs w:val="18"/>
              </w:rPr>
              <w:t>30</w:t>
            </w:r>
            <w:r w:rsidRPr="00322AEF">
              <w:rPr>
                <w:sz w:val="18"/>
                <w:szCs w:val="18"/>
              </w:rPr>
              <w:t xml:space="preserve"> hores, de conformitat amb el termini de 10 dies hàbils establert a la clàusula trenta-setena del Plec de Clàusules Administratives Particulars de l'Acord marc, computats des de la publicació de la licitació al Perfil del Contractant (26 de novembre de 2025).</w:t>
            </w:r>
          </w:p>
          <w:p w14:paraId="6612528E" w14:textId="77777777" w:rsidR="00D64420" w:rsidRPr="00322AEF" w:rsidRDefault="00D64420" w:rsidP="00D64420">
            <w:pPr>
              <w:pStyle w:val="Default"/>
              <w:jc w:val="both"/>
              <w:rPr>
                <w:sz w:val="18"/>
                <w:szCs w:val="18"/>
              </w:rPr>
            </w:pPr>
          </w:p>
          <w:p w14:paraId="67F60F50" w14:textId="7D6F5F47" w:rsidR="00D64420" w:rsidRPr="00322AEF" w:rsidRDefault="00D64420" w:rsidP="00D64420">
            <w:pPr>
              <w:pStyle w:val="Default"/>
              <w:jc w:val="both"/>
              <w:rPr>
                <w:sz w:val="18"/>
                <w:szCs w:val="18"/>
              </w:rPr>
            </w:pPr>
            <w:r w:rsidRPr="00322AEF">
              <w:rPr>
                <w:b/>
                <w:bCs/>
                <w:sz w:val="18"/>
                <w:szCs w:val="18"/>
              </w:rPr>
              <w:t>Tercer</w:t>
            </w:r>
            <w:r w:rsidRPr="00322AEF">
              <w:rPr>
                <w:sz w:val="18"/>
                <w:szCs w:val="18"/>
              </w:rPr>
              <w:t>. Declarar que les quatre ofertes presentades dins del termini inicialment publicat (4 dies hàbils, fins al 2 de desembre de 2025) es consideren vàlides i presentades en termini, i seran valorades conjuntament amb les ofertes que es presentin fins a la nova data límit establerta al punt segon d'aquesta resolució.</w:t>
            </w:r>
          </w:p>
          <w:p w14:paraId="65B66852" w14:textId="77777777" w:rsidR="00D64420" w:rsidRPr="00322AEF" w:rsidRDefault="00D64420" w:rsidP="00D64420">
            <w:pPr>
              <w:pStyle w:val="Default"/>
              <w:jc w:val="both"/>
              <w:rPr>
                <w:sz w:val="18"/>
                <w:szCs w:val="18"/>
              </w:rPr>
            </w:pPr>
          </w:p>
          <w:p w14:paraId="21CD0016" w14:textId="4D0601BF" w:rsidR="00D64420" w:rsidRPr="00322AEF" w:rsidRDefault="00D64420" w:rsidP="00D64420">
            <w:pPr>
              <w:pStyle w:val="Default"/>
              <w:jc w:val="both"/>
              <w:rPr>
                <w:sz w:val="18"/>
                <w:szCs w:val="18"/>
              </w:rPr>
            </w:pPr>
            <w:r w:rsidRPr="00322AEF">
              <w:rPr>
                <w:b/>
                <w:bCs/>
                <w:sz w:val="18"/>
                <w:szCs w:val="18"/>
              </w:rPr>
              <w:t>Quart</w:t>
            </w:r>
            <w:r w:rsidRPr="00322AEF">
              <w:rPr>
                <w:sz w:val="18"/>
                <w:szCs w:val="18"/>
              </w:rPr>
              <w:t>. Garantir que les ofertes ja presentades romandran sota custòdia electrònica sense ser obertes fins a la finalització del termini ampliat, preservant així el secret del seu contingut de conformitat amb l'article 139.</w:t>
            </w:r>
            <w:r w:rsidR="002110B4">
              <w:rPr>
                <w:sz w:val="18"/>
                <w:szCs w:val="18"/>
              </w:rPr>
              <w:t>2</w:t>
            </w:r>
            <w:r w:rsidRPr="00322AEF">
              <w:rPr>
                <w:sz w:val="18"/>
                <w:szCs w:val="18"/>
              </w:rPr>
              <w:t xml:space="preserve"> de la Llei 9/2017, de 8 de novembre, de Contractes del Sector Públic.</w:t>
            </w:r>
          </w:p>
          <w:p w14:paraId="50890DDA" w14:textId="77777777" w:rsidR="00D64420" w:rsidRPr="00322AEF" w:rsidRDefault="00D64420" w:rsidP="00D64420">
            <w:pPr>
              <w:pStyle w:val="Default"/>
              <w:jc w:val="both"/>
              <w:rPr>
                <w:sz w:val="18"/>
                <w:szCs w:val="18"/>
              </w:rPr>
            </w:pPr>
          </w:p>
          <w:p w14:paraId="34E55770" w14:textId="21412FC4" w:rsidR="00D64420" w:rsidRPr="00322AEF" w:rsidRDefault="00D64420" w:rsidP="00D64420">
            <w:pPr>
              <w:pStyle w:val="Default"/>
              <w:jc w:val="both"/>
              <w:rPr>
                <w:sz w:val="18"/>
                <w:szCs w:val="18"/>
              </w:rPr>
            </w:pPr>
            <w:r w:rsidRPr="00322AEF">
              <w:rPr>
                <w:b/>
                <w:bCs/>
                <w:sz w:val="18"/>
                <w:szCs w:val="18"/>
              </w:rPr>
              <w:t>Cinquè</w:t>
            </w:r>
            <w:r w:rsidRPr="00322AEF">
              <w:rPr>
                <w:sz w:val="18"/>
                <w:szCs w:val="18"/>
              </w:rPr>
              <w:t xml:space="preserve">. Notificar aquesta resolució, amb caràcter immediat i per mitjans que assegurin la constància de la recepció, a les cinc empreses </w:t>
            </w:r>
            <w:r w:rsidR="00F51B55">
              <w:rPr>
                <w:sz w:val="18"/>
                <w:szCs w:val="18"/>
              </w:rPr>
              <w:t xml:space="preserve">homologades </w:t>
            </w:r>
            <w:r w:rsidRPr="00322AEF">
              <w:rPr>
                <w:sz w:val="18"/>
                <w:szCs w:val="18"/>
              </w:rPr>
              <w:t xml:space="preserve">del lot 1 de l'Acord marc de subministrament de llicències Microsoft del Consorci </w:t>
            </w:r>
            <w:proofErr w:type="spellStart"/>
            <w:r w:rsidRPr="00322AEF">
              <w:rPr>
                <w:sz w:val="18"/>
                <w:szCs w:val="18"/>
              </w:rPr>
              <w:t>Localret</w:t>
            </w:r>
            <w:proofErr w:type="spellEnd"/>
            <w:r w:rsidRPr="00322AEF">
              <w:rPr>
                <w:sz w:val="18"/>
                <w:szCs w:val="18"/>
              </w:rPr>
              <w:t>:</w:t>
            </w:r>
          </w:p>
          <w:p w14:paraId="40860723" w14:textId="77777777" w:rsidR="0058755E" w:rsidRPr="00322AEF" w:rsidRDefault="0058755E" w:rsidP="00D64420">
            <w:pPr>
              <w:pStyle w:val="Default"/>
              <w:jc w:val="both"/>
              <w:rPr>
                <w:sz w:val="18"/>
                <w:szCs w:val="18"/>
              </w:rPr>
            </w:pPr>
          </w:p>
          <w:p w14:paraId="5D582519" w14:textId="24A63CD6" w:rsidR="00D64420" w:rsidRPr="00322AEF" w:rsidRDefault="00D64420" w:rsidP="0058755E">
            <w:pPr>
              <w:pStyle w:val="Default"/>
              <w:numPr>
                <w:ilvl w:val="0"/>
                <w:numId w:val="3"/>
              </w:numPr>
              <w:jc w:val="both"/>
              <w:rPr>
                <w:sz w:val="18"/>
                <w:szCs w:val="18"/>
              </w:rPr>
            </w:pPr>
            <w:r w:rsidRPr="00322AEF">
              <w:rPr>
                <w:sz w:val="18"/>
                <w:szCs w:val="18"/>
              </w:rPr>
              <w:t>Les quatre empreses que ja han presentat oferta, informant-les de la validesa de les seves ofertes i de l'ampliació del termini</w:t>
            </w:r>
            <w:r w:rsidR="004051F7">
              <w:rPr>
                <w:sz w:val="18"/>
                <w:szCs w:val="18"/>
              </w:rPr>
              <w:t>,</w:t>
            </w:r>
          </w:p>
          <w:p w14:paraId="19941FE1" w14:textId="1878A441" w:rsidR="00D64420" w:rsidRPr="00322AEF" w:rsidRDefault="00D64420" w:rsidP="0058755E">
            <w:pPr>
              <w:pStyle w:val="Default"/>
              <w:numPr>
                <w:ilvl w:val="0"/>
                <w:numId w:val="3"/>
              </w:numPr>
              <w:jc w:val="both"/>
              <w:rPr>
                <w:sz w:val="18"/>
                <w:szCs w:val="18"/>
              </w:rPr>
            </w:pPr>
            <w:r w:rsidRPr="00322AEF">
              <w:rPr>
                <w:sz w:val="18"/>
                <w:szCs w:val="18"/>
              </w:rPr>
              <w:t>L'empresa que ha sol·licitat poder presentar oferta en el termini previst al PCAP, informant-la de la possibilitat de presentar fins al 11 de desembre de 2025</w:t>
            </w:r>
            <w:r w:rsidR="004051F7">
              <w:rPr>
                <w:sz w:val="18"/>
                <w:szCs w:val="18"/>
              </w:rPr>
              <w:t>.</w:t>
            </w:r>
          </w:p>
          <w:p w14:paraId="6297AE83" w14:textId="77777777" w:rsidR="00D64420" w:rsidRPr="00322AEF" w:rsidRDefault="00D64420" w:rsidP="00D64420">
            <w:pPr>
              <w:pStyle w:val="Default"/>
              <w:jc w:val="both"/>
              <w:rPr>
                <w:sz w:val="18"/>
                <w:szCs w:val="18"/>
              </w:rPr>
            </w:pPr>
          </w:p>
          <w:p w14:paraId="700EC522" w14:textId="7E0A3BB9" w:rsidR="00D64420" w:rsidRPr="00322AEF" w:rsidRDefault="00D64420" w:rsidP="00D64420">
            <w:pPr>
              <w:pStyle w:val="Default"/>
              <w:jc w:val="both"/>
              <w:rPr>
                <w:sz w:val="18"/>
                <w:szCs w:val="18"/>
              </w:rPr>
            </w:pPr>
            <w:r w:rsidRPr="00322AEF">
              <w:rPr>
                <w:b/>
                <w:bCs/>
                <w:sz w:val="18"/>
                <w:szCs w:val="18"/>
              </w:rPr>
              <w:t>Sisè</w:t>
            </w:r>
            <w:r w:rsidRPr="00322AEF">
              <w:rPr>
                <w:sz w:val="18"/>
                <w:szCs w:val="18"/>
              </w:rPr>
              <w:t>. Publicar aquesta resolució al Perfil del Contractant del Consorci Museu d'Art Contemporani de Barcelona amb caràcter immediatament vinculant, de conformitat amb els principis de publicitat i transparència establerts a l'article 63 de la Llei 9/2017, de Contractes del Sector Públic.</w:t>
            </w:r>
          </w:p>
          <w:p w14:paraId="01AD98A0" w14:textId="77777777" w:rsidR="00D64420" w:rsidRPr="00322AEF" w:rsidRDefault="00D64420" w:rsidP="00D64420">
            <w:pPr>
              <w:pStyle w:val="Default"/>
              <w:jc w:val="both"/>
              <w:rPr>
                <w:sz w:val="18"/>
                <w:szCs w:val="18"/>
              </w:rPr>
            </w:pPr>
          </w:p>
          <w:p w14:paraId="7BC4DB8F" w14:textId="100B851E" w:rsidR="00D64420" w:rsidRPr="00322AEF" w:rsidRDefault="00D64420" w:rsidP="00D64420">
            <w:pPr>
              <w:pStyle w:val="Default"/>
              <w:jc w:val="both"/>
              <w:rPr>
                <w:sz w:val="18"/>
                <w:szCs w:val="18"/>
              </w:rPr>
            </w:pPr>
            <w:r w:rsidRPr="00322AEF">
              <w:rPr>
                <w:b/>
                <w:bCs/>
                <w:sz w:val="18"/>
                <w:szCs w:val="18"/>
              </w:rPr>
              <w:t>Setè</w:t>
            </w:r>
            <w:r w:rsidRPr="00322AEF">
              <w:rPr>
                <w:sz w:val="18"/>
                <w:szCs w:val="18"/>
              </w:rPr>
              <w:t>.</w:t>
            </w:r>
            <w:r w:rsidR="00B03225" w:rsidRPr="00322AEF">
              <w:rPr>
                <w:sz w:val="18"/>
                <w:szCs w:val="18"/>
              </w:rPr>
              <w:t xml:space="preserve"> </w:t>
            </w:r>
            <w:r w:rsidRPr="00322AEF">
              <w:rPr>
                <w:sz w:val="18"/>
                <w:szCs w:val="18"/>
              </w:rPr>
              <w:t>Mantenir inalterada la resta de condicions, requisits i criteris de valoració establerts a la documentació de la licitació, sense que aquesta ampliació de termini comporti cap modificació de les bases de la convocatòria més enllà de l'estrictament necessari per corregir l'error material detectat.</w:t>
            </w:r>
          </w:p>
          <w:p w14:paraId="4A27E7F3" w14:textId="77777777" w:rsidR="00D64420" w:rsidRPr="00322AEF" w:rsidRDefault="00D64420" w:rsidP="00D64420">
            <w:pPr>
              <w:pStyle w:val="Default"/>
              <w:jc w:val="both"/>
              <w:rPr>
                <w:sz w:val="18"/>
                <w:szCs w:val="18"/>
              </w:rPr>
            </w:pPr>
          </w:p>
          <w:p w14:paraId="77FA2E84" w14:textId="3AB6ECCE" w:rsidR="00D64420" w:rsidRPr="00322AEF" w:rsidRDefault="00D64420" w:rsidP="00D64420">
            <w:pPr>
              <w:pStyle w:val="Default"/>
              <w:jc w:val="both"/>
              <w:rPr>
                <w:sz w:val="18"/>
                <w:szCs w:val="18"/>
              </w:rPr>
            </w:pPr>
            <w:r w:rsidRPr="00322AEF">
              <w:rPr>
                <w:b/>
                <w:bCs/>
                <w:sz w:val="18"/>
                <w:szCs w:val="18"/>
              </w:rPr>
              <w:t>Vuitè</w:t>
            </w:r>
            <w:r w:rsidRPr="00322AEF">
              <w:rPr>
                <w:sz w:val="18"/>
                <w:szCs w:val="18"/>
              </w:rPr>
              <w:t>. Ordenar al Servei Jurídic, Compres i Transparència del Consorci Museu d'Art Contemporani de Barcelona que dugui a terme totes les actuacions necessàries per a l'execució d'aquesta resolució, incloent-hi les notificacions i publicacions corresponents.</w:t>
            </w:r>
          </w:p>
          <w:p w14:paraId="53D7649B" w14:textId="77777777" w:rsidR="00D64420" w:rsidRPr="00322AEF" w:rsidRDefault="00D64420" w:rsidP="00D64420">
            <w:pPr>
              <w:pStyle w:val="Default"/>
              <w:jc w:val="both"/>
              <w:rPr>
                <w:sz w:val="18"/>
                <w:szCs w:val="18"/>
              </w:rPr>
            </w:pPr>
          </w:p>
          <w:p w14:paraId="262B1456" w14:textId="312687D2" w:rsidR="00E723E8" w:rsidRDefault="00D64420" w:rsidP="00E723E8">
            <w:pPr>
              <w:pStyle w:val="Default"/>
              <w:jc w:val="both"/>
              <w:rPr>
                <w:sz w:val="18"/>
                <w:szCs w:val="18"/>
              </w:rPr>
            </w:pPr>
            <w:r w:rsidRPr="00322AEF">
              <w:rPr>
                <w:b/>
                <w:bCs/>
                <w:sz w:val="18"/>
                <w:szCs w:val="18"/>
              </w:rPr>
              <w:t>Novè</w:t>
            </w:r>
            <w:r w:rsidRPr="00322AEF">
              <w:rPr>
                <w:sz w:val="18"/>
                <w:szCs w:val="18"/>
              </w:rPr>
              <w:t>. Informar les empreses licitadores que</w:t>
            </w:r>
            <w:r w:rsidR="00D33A38">
              <w:rPr>
                <w:sz w:val="18"/>
                <w:szCs w:val="18"/>
              </w:rPr>
              <w:t xml:space="preserve"> </w:t>
            </w:r>
            <w:r w:rsidRPr="00322AEF">
              <w:rPr>
                <w:sz w:val="18"/>
                <w:szCs w:val="18"/>
              </w:rPr>
              <w:t>contra aquesta resolució</w:t>
            </w:r>
            <w:r w:rsidR="00E723E8">
              <w:rPr>
                <w:sz w:val="18"/>
                <w:szCs w:val="18"/>
              </w:rPr>
              <w:t xml:space="preserve"> </w:t>
            </w:r>
            <w:r w:rsidR="00E723E8" w:rsidRPr="00E723E8">
              <w:rPr>
                <w:sz w:val="18"/>
                <w:szCs w:val="18"/>
              </w:rPr>
              <w:t xml:space="preserve">es podrà interposar recurs potestatiu de reposició davant l'òrgan que l'ha adoptat, en el termini d'un mes comptat a partir del dia següent al de la recepció de la notificació, o es pot interposar directament recurs contenciós administratiu davant el Jutjat Contenciós Administratiu de Barcelona, en el termini de dos mesos comptats des del dia següent al de la recepció d'aquesta notificació. </w:t>
            </w:r>
          </w:p>
          <w:p w14:paraId="1D727320" w14:textId="77777777" w:rsidR="00F4022D" w:rsidRPr="00E723E8" w:rsidRDefault="00F4022D" w:rsidP="00E723E8">
            <w:pPr>
              <w:pStyle w:val="Default"/>
              <w:jc w:val="both"/>
              <w:rPr>
                <w:sz w:val="18"/>
                <w:szCs w:val="18"/>
              </w:rPr>
            </w:pPr>
          </w:p>
          <w:p w14:paraId="5DB7F265" w14:textId="77777777" w:rsidR="00E723E8" w:rsidRPr="00E723E8" w:rsidRDefault="00E723E8" w:rsidP="00E723E8">
            <w:pPr>
              <w:pStyle w:val="Default"/>
              <w:jc w:val="both"/>
              <w:rPr>
                <w:sz w:val="18"/>
                <w:szCs w:val="18"/>
              </w:rPr>
            </w:pPr>
            <w:r w:rsidRPr="00E723E8">
              <w:rPr>
                <w:sz w:val="18"/>
                <w:szCs w:val="18"/>
              </w:rPr>
              <w:t xml:space="preserve">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 en el termini de sis mesos comptats des del següent al que s'hagi produït la desestimació tàcita. </w:t>
            </w:r>
          </w:p>
          <w:p w14:paraId="75A7127E" w14:textId="77777777" w:rsidR="00F4022D" w:rsidRDefault="00F4022D" w:rsidP="00E723E8">
            <w:pPr>
              <w:pStyle w:val="Default"/>
              <w:jc w:val="both"/>
              <w:rPr>
                <w:sz w:val="18"/>
                <w:szCs w:val="18"/>
              </w:rPr>
            </w:pPr>
          </w:p>
          <w:p w14:paraId="098A6DAA" w14:textId="4AB750E4" w:rsidR="00E723E8" w:rsidRDefault="00E723E8" w:rsidP="00E723E8">
            <w:pPr>
              <w:pStyle w:val="Default"/>
              <w:jc w:val="both"/>
              <w:rPr>
                <w:sz w:val="18"/>
                <w:szCs w:val="18"/>
              </w:rPr>
            </w:pPr>
            <w:r w:rsidRPr="00E723E8">
              <w:rPr>
                <w:sz w:val="18"/>
                <w:szCs w:val="18"/>
              </w:rPr>
              <w:t>També es pot interposar qualsevol altre recurs que es consideri convenient.</w:t>
            </w:r>
          </w:p>
          <w:p w14:paraId="0E9CEB4C" w14:textId="1BE232CF" w:rsidR="00D64420" w:rsidRPr="001C465F" w:rsidRDefault="00D64420" w:rsidP="00F4022D">
            <w:pPr>
              <w:pStyle w:val="Default"/>
              <w:jc w:val="both"/>
              <w:rPr>
                <w:sz w:val="8"/>
                <w:szCs w:val="8"/>
              </w:rPr>
            </w:pPr>
          </w:p>
        </w:tc>
      </w:tr>
      <w:tr w:rsidR="000E4B52" w:rsidRPr="00BB1167" w14:paraId="0C500E4F" w14:textId="77777777" w:rsidTr="008A074D">
        <w:trPr>
          <w:cantSplit/>
          <w:trHeight w:hRule="exact" w:val="113"/>
        </w:trPr>
        <w:tc>
          <w:tcPr>
            <w:tcW w:w="2568" w:type="pct"/>
            <w:gridSpan w:val="5"/>
            <w:tcBorders>
              <w:top w:val="single" w:sz="4" w:space="0" w:color="auto"/>
            </w:tcBorders>
          </w:tcPr>
          <w:p w14:paraId="0115FEE5" w14:textId="77777777" w:rsidR="0098708C" w:rsidRPr="00BB1167" w:rsidRDefault="000731D8" w:rsidP="00F76C39">
            <w:pPr>
              <w:pStyle w:val="Pas8"/>
              <w:rPr>
                <w:rFonts w:ascii="Arial" w:hAnsi="Arial" w:cs="Arial"/>
              </w:rPr>
            </w:pPr>
            <w:r w:rsidRPr="00BB1167">
              <w:rPr>
                <w:rFonts w:ascii="Arial" w:hAnsi="Arial" w:cs="Arial"/>
              </w:rPr>
              <w:lastRenderedPageBreak/>
              <w:t xml:space="preserve">                                                                                            </w:t>
            </w:r>
          </w:p>
        </w:tc>
        <w:tc>
          <w:tcPr>
            <w:tcW w:w="2432" w:type="pct"/>
            <w:gridSpan w:val="2"/>
          </w:tcPr>
          <w:p w14:paraId="43E03B4F" w14:textId="77777777" w:rsidR="0098708C" w:rsidRPr="00BB1167" w:rsidRDefault="000731D8" w:rsidP="00F76C39">
            <w:pPr>
              <w:pStyle w:val="Pas8"/>
              <w:rPr>
                <w:rFonts w:ascii="Arial" w:hAnsi="Arial" w:cs="Arial"/>
              </w:rPr>
            </w:pPr>
            <w:r w:rsidRPr="00BB1167">
              <w:rPr>
                <w:rFonts w:ascii="Arial" w:hAnsi="Arial" w:cs="Arial"/>
              </w:rPr>
              <w:t xml:space="preserve"> </w:t>
            </w:r>
          </w:p>
        </w:tc>
      </w:tr>
      <w:tr w:rsidR="004E124D" w:rsidRPr="00BB1167" w14:paraId="14C90485" w14:textId="77777777" w:rsidTr="008A074D">
        <w:trPr>
          <w:cantSplit/>
          <w:trHeight w:val="545"/>
        </w:trPr>
        <w:tc>
          <w:tcPr>
            <w:tcW w:w="2487" w:type="pct"/>
            <w:gridSpan w:val="4"/>
            <w:tcBorders>
              <w:top w:val="single" w:sz="4" w:space="0" w:color="auto"/>
              <w:left w:val="single" w:sz="2" w:space="0" w:color="auto"/>
              <w:right w:val="single" w:sz="2" w:space="0" w:color="auto"/>
            </w:tcBorders>
          </w:tcPr>
          <w:p w14:paraId="5D3789BA" w14:textId="77777777" w:rsidR="001F49B8" w:rsidRPr="00BB1167" w:rsidRDefault="001F49B8" w:rsidP="00AF5AEB">
            <w:pPr>
              <w:pStyle w:val="Pas8"/>
              <w:tabs>
                <w:tab w:val="left" w:pos="11057"/>
              </w:tabs>
              <w:spacing w:before="120"/>
              <w:jc w:val="left"/>
              <w:rPr>
                <w:rFonts w:ascii="Arial" w:hAnsi="Arial" w:cs="Arial"/>
                <w:sz w:val="18"/>
                <w:szCs w:val="18"/>
              </w:rPr>
            </w:pPr>
            <w:r w:rsidRPr="00BB1167">
              <w:rPr>
                <w:rFonts w:ascii="Arial" w:hAnsi="Arial" w:cs="Arial"/>
                <w:sz w:val="18"/>
                <w:szCs w:val="18"/>
              </w:rPr>
              <w:t>EL GERENT,</w:t>
            </w:r>
          </w:p>
          <w:p w14:paraId="7641AC03" w14:textId="6AB35DC6" w:rsidR="004E124D" w:rsidRPr="00BB1167" w:rsidRDefault="004E124D" w:rsidP="004E124D">
            <w:pPr>
              <w:pStyle w:val="Pas8"/>
              <w:spacing w:before="60"/>
              <w:rPr>
                <w:rFonts w:ascii="Arial" w:hAnsi="Arial" w:cs="Arial"/>
                <w:sz w:val="14"/>
              </w:rPr>
            </w:pPr>
          </w:p>
        </w:tc>
        <w:tc>
          <w:tcPr>
            <w:tcW w:w="81" w:type="pct"/>
            <w:tcBorders>
              <w:left w:val="single" w:sz="2" w:space="0" w:color="auto"/>
            </w:tcBorders>
          </w:tcPr>
          <w:p w14:paraId="5070DB96" w14:textId="77777777" w:rsidR="004E124D" w:rsidRPr="00BB1167" w:rsidRDefault="004E124D" w:rsidP="004E124D">
            <w:pPr>
              <w:pStyle w:val="Pas8"/>
              <w:spacing w:before="120"/>
              <w:rPr>
                <w:rFonts w:ascii="Arial" w:hAnsi="Arial" w:cs="Arial"/>
                <w:sz w:val="14"/>
              </w:rPr>
            </w:pPr>
          </w:p>
        </w:tc>
        <w:tc>
          <w:tcPr>
            <w:tcW w:w="2432" w:type="pct"/>
            <w:gridSpan w:val="2"/>
            <w:vAlign w:val="center"/>
          </w:tcPr>
          <w:p w14:paraId="14A4E3EF" w14:textId="16EED3DA" w:rsidR="004E124D" w:rsidRPr="00BB1167" w:rsidRDefault="004E124D" w:rsidP="004E124D">
            <w:pPr>
              <w:pStyle w:val="Pas8"/>
              <w:tabs>
                <w:tab w:val="left" w:pos="11057"/>
              </w:tabs>
              <w:spacing w:before="80" w:after="80"/>
              <w:rPr>
                <w:rFonts w:ascii="Arial" w:hAnsi="Arial" w:cs="Arial"/>
                <w:sz w:val="14"/>
                <w:szCs w:val="14"/>
              </w:rPr>
            </w:pPr>
          </w:p>
        </w:tc>
      </w:tr>
      <w:tr w:rsidR="004E124D" w:rsidRPr="00BB1167" w14:paraId="6CECEDF2" w14:textId="77777777" w:rsidTr="008A074D">
        <w:trPr>
          <w:cantSplit/>
          <w:trHeight w:val="643"/>
        </w:trPr>
        <w:tc>
          <w:tcPr>
            <w:tcW w:w="2487" w:type="pct"/>
            <w:gridSpan w:val="4"/>
            <w:tcBorders>
              <w:left w:val="single" w:sz="2" w:space="0" w:color="auto"/>
              <w:bottom w:val="single" w:sz="2" w:space="0" w:color="auto"/>
              <w:right w:val="single" w:sz="2" w:space="0" w:color="auto"/>
            </w:tcBorders>
          </w:tcPr>
          <w:p w14:paraId="22A9F534" w14:textId="77777777" w:rsidR="004E124D" w:rsidRDefault="004E124D" w:rsidP="004E124D">
            <w:pPr>
              <w:pStyle w:val="Pas8"/>
              <w:tabs>
                <w:tab w:val="left" w:pos="11057"/>
              </w:tabs>
              <w:jc w:val="left"/>
              <w:rPr>
                <w:rFonts w:ascii="Arial" w:hAnsi="Arial" w:cs="Arial"/>
                <w:sz w:val="18"/>
                <w:szCs w:val="18"/>
              </w:rPr>
            </w:pPr>
          </w:p>
          <w:p w14:paraId="509FC9AA" w14:textId="77777777" w:rsidR="004E124D" w:rsidRDefault="004E124D" w:rsidP="004E124D">
            <w:pPr>
              <w:pStyle w:val="Pas8"/>
              <w:tabs>
                <w:tab w:val="left" w:pos="11057"/>
              </w:tabs>
              <w:jc w:val="left"/>
              <w:rPr>
                <w:rFonts w:ascii="Arial" w:hAnsi="Arial" w:cs="Arial"/>
                <w:sz w:val="18"/>
                <w:szCs w:val="18"/>
              </w:rPr>
            </w:pPr>
          </w:p>
          <w:p w14:paraId="67B6CF29" w14:textId="77777777" w:rsidR="004E124D" w:rsidRDefault="004E124D" w:rsidP="004E124D">
            <w:pPr>
              <w:pStyle w:val="Pas8"/>
              <w:tabs>
                <w:tab w:val="left" w:pos="11057"/>
              </w:tabs>
              <w:jc w:val="left"/>
              <w:rPr>
                <w:rFonts w:ascii="Arial" w:hAnsi="Arial" w:cs="Arial"/>
                <w:sz w:val="18"/>
                <w:szCs w:val="18"/>
              </w:rPr>
            </w:pPr>
          </w:p>
          <w:p w14:paraId="1D129D73" w14:textId="77777777" w:rsidR="004E124D" w:rsidRPr="00BB1167" w:rsidRDefault="004E124D" w:rsidP="004E124D">
            <w:pPr>
              <w:pStyle w:val="Pas8"/>
              <w:tabs>
                <w:tab w:val="left" w:pos="11057"/>
              </w:tabs>
              <w:jc w:val="left"/>
              <w:rPr>
                <w:rFonts w:ascii="Arial" w:hAnsi="Arial" w:cs="Arial"/>
                <w:sz w:val="18"/>
                <w:szCs w:val="18"/>
              </w:rPr>
            </w:pPr>
          </w:p>
          <w:p w14:paraId="7EBF1ABC" w14:textId="49BE3FFF" w:rsidR="004E124D" w:rsidRPr="00BB1167" w:rsidRDefault="004E124D" w:rsidP="004E124D">
            <w:pPr>
              <w:pStyle w:val="Pas8"/>
              <w:tabs>
                <w:tab w:val="left" w:pos="11057"/>
              </w:tabs>
              <w:jc w:val="left"/>
              <w:rPr>
                <w:rFonts w:ascii="Arial" w:hAnsi="Arial" w:cs="Arial"/>
                <w:sz w:val="18"/>
                <w:szCs w:val="18"/>
              </w:rPr>
            </w:pPr>
          </w:p>
        </w:tc>
        <w:tc>
          <w:tcPr>
            <w:tcW w:w="81" w:type="pct"/>
            <w:tcBorders>
              <w:left w:val="single" w:sz="2" w:space="0" w:color="auto"/>
            </w:tcBorders>
          </w:tcPr>
          <w:p w14:paraId="047195E3" w14:textId="77777777" w:rsidR="004E124D" w:rsidRPr="00BB1167" w:rsidRDefault="004E124D" w:rsidP="004E124D">
            <w:pPr>
              <w:pStyle w:val="Pas8"/>
              <w:rPr>
                <w:rFonts w:ascii="Arial" w:hAnsi="Arial" w:cs="Arial"/>
                <w:sz w:val="14"/>
              </w:rPr>
            </w:pPr>
          </w:p>
        </w:tc>
        <w:tc>
          <w:tcPr>
            <w:tcW w:w="2432" w:type="pct"/>
            <w:gridSpan w:val="2"/>
          </w:tcPr>
          <w:p w14:paraId="148FD50C" w14:textId="77777777" w:rsidR="004E124D" w:rsidRPr="00BB1167" w:rsidRDefault="004E124D" w:rsidP="004E124D">
            <w:pPr>
              <w:pStyle w:val="Pas8"/>
              <w:tabs>
                <w:tab w:val="left" w:pos="11057"/>
              </w:tabs>
              <w:jc w:val="left"/>
              <w:rPr>
                <w:rFonts w:ascii="Arial" w:hAnsi="Arial" w:cs="Arial"/>
                <w:sz w:val="18"/>
                <w:szCs w:val="18"/>
              </w:rPr>
            </w:pPr>
          </w:p>
        </w:tc>
      </w:tr>
    </w:tbl>
    <w:p w14:paraId="4644DE52" w14:textId="7BE3C247" w:rsidR="0098708C" w:rsidRPr="00BB1167" w:rsidRDefault="0098708C" w:rsidP="00A33DB4">
      <w:pPr>
        <w:rPr>
          <w:rFonts w:ascii="Arial" w:hAnsi="Arial" w:cs="Arial"/>
        </w:rPr>
      </w:pPr>
    </w:p>
    <w:sectPr w:rsidR="0098708C" w:rsidRPr="00BB1167" w:rsidSect="007A119C">
      <w:pgSz w:w="11907" w:h="16840" w:code="9"/>
      <w:pgMar w:top="567" w:right="851" w:bottom="567" w:left="1134"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0A9D" w14:textId="77777777" w:rsidR="0035095A" w:rsidRDefault="0035095A" w:rsidP="009C4F11">
      <w:r>
        <w:separator/>
      </w:r>
    </w:p>
  </w:endnote>
  <w:endnote w:type="continuationSeparator" w:id="0">
    <w:p w14:paraId="72CF3C15" w14:textId="77777777" w:rsidR="0035095A" w:rsidRDefault="0035095A" w:rsidP="009C4F11">
      <w:r>
        <w:continuationSeparator/>
      </w:r>
    </w:p>
  </w:endnote>
  <w:endnote w:type="continuationNotice" w:id="1">
    <w:p w14:paraId="3C371963" w14:textId="77777777" w:rsidR="0035095A" w:rsidRDefault="00350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wis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6684" w14:textId="77777777" w:rsidR="0035095A" w:rsidRDefault="0035095A" w:rsidP="009C4F11">
      <w:r>
        <w:separator/>
      </w:r>
    </w:p>
  </w:footnote>
  <w:footnote w:type="continuationSeparator" w:id="0">
    <w:p w14:paraId="1C37A4E9" w14:textId="77777777" w:rsidR="0035095A" w:rsidRDefault="0035095A" w:rsidP="009C4F11">
      <w:r>
        <w:continuationSeparator/>
      </w:r>
    </w:p>
  </w:footnote>
  <w:footnote w:type="continuationNotice" w:id="1">
    <w:p w14:paraId="270B249D" w14:textId="77777777" w:rsidR="0035095A" w:rsidRDefault="003509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B4106"/>
    <w:multiLevelType w:val="hybridMultilevel"/>
    <w:tmpl w:val="AA4A535C"/>
    <w:lvl w:ilvl="0" w:tplc="DC18413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4E000BC9"/>
    <w:multiLevelType w:val="hybridMultilevel"/>
    <w:tmpl w:val="8116B0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E3A3C89"/>
    <w:multiLevelType w:val="hybridMultilevel"/>
    <w:tmpl w:val="47B4246C"/>
    <w:lvl w:ilvl="0" w:tplc="DC18413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D5B31DE"/>
    <w:multiLevelType w:val="hybridMultilevel"/>
    <w:tmpl w:val="84EAAF44"/>
    <w:lvl w:ilvl="0" w:tplc="DC18413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62942486"/>
    <w:multiLevelType w:val="hybridMultilevel"/>
    <w:tmpl w:val="40C057DE"/>
    <w:lvl w:ilvl="0" w:tplc="DC18413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7C2A377B"/>
    <w:multiLevelType w:val="singleLevel"/>
    <w:tmpl w:val="A4C0F9EE"/>
    <w:lvl w:ilvl="0">
      <w:numFmt w:val="bullet"/>
      <w:lvlText w:val="-"/>
      <w:lvlJc w:val="left"/>
      <w:pPr>
        <w:tabs>
          <w:tab w:val="num" w:pos="360"/>
        </w:tabs>
        <w:ind w:left="357" w:hanging="357"/>
      </w:pPr>
    </w:lvl>
  </w:abstractNum>
  <w:abstractNum w:abstractNumId="6" w15:restartNumberingAfterBreak="0">
    <w:nsid w:val="7FAE7B06"/>
    <w:multiLevelType w:val="hybridMultilevel"/>
    <w:tmpl w:val="AF6C2FA4"/>
    <w:lvl w:ilvl="0" w:tplc="DC18413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24700780">
    <w:abstractNumId w:val="5"/>
  </w:num>
  <w:num w:numId="2" w16cid:durableId="697047476">
    <w:abstractNumId w:val="1"/>
  </w:num>
  <w:num w:numId="3" w16cid:durableId="1278637086">
    <w:abstractNumId w:val="4"/>
  </w:num>
  <w:num w:numId="4" w16cid:durableId="308484192">
    <w:abstractNumId w:val="2"/>
  </w:num>
  <w:num w:numId="5" w16cid:durableId="493448836">
    <w:abstractNumId w:val="6"/>
  </w:num>
  <w:num w:numId="6" w16cid:durableId="2050564333">
    <w:abstractNumId w:val="3"/>
  </w:num>
  <w:num w:numId="7" w16cid:durableId="568350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E0B"/>
    <w:rsid w:val="00004DE9"/>
    <w:rsid w:val="00007496"/>
    <w:rsid w:val="0003789B"/>
    <w:rsid w:val="0005103F"/>
    <w:rsid w:val="00054AC8"/>
    <w:rsid w:val="00063EE4"/>
    <w:rsid w:val="00065A94"/>
    <w:rsid w:val="000731D8"/>
    <w:rsid w:val="00077EE6"/>
    <w:rsid w:val="00083AEA"/>
    <w:rsid w:val="0008541B"/>
    <w:rsid w:val="0009760E"/>
    <w:rsid w:val="000A5644"/>
    <w:rsid w:val="000A5907"/>
    <w:rsid w:val="000C5A40"/>
    <w:rsid w:val="000D252C"/>
    <w:rsid w:val="000E4B52"/>
    <w:rsid w:val="000E4BC4"/>
    <w:rsid w:val="000E5B3B"/>
    <w:rsid w:val="000E5E0B"/>
    <w:rsid w:val="000F15BE"/>
    <w:rsid w:val="000F67CF"/>
    <w:rsid w:val="000F787E"/>
    <w:rsid w:val="00105B64"/>
    <w:rsid w:val="00111FF0"/>
    <w:rsid w:val="00120651"/>
    <w:rsid w:val="00123774"/>
    <w:rsid w:val="00130978"/>
    <w:rsid w:val="00131749"/>
    <w:rsid w:val="0013476D"/>
    <w:rsid w:val="0013572B"/>
    <w:rsid w:val="00142D42"/>
    <w:rsid w:val="001453B4"/>
    <w:rsid w:val="00146F19"/>
    <w:rsid w:val="00156386"/>
    <w:rsid w:val="00157F83"/>
    <w:rsid w:val="001668A3"/>
    <w:rsid w:val="001704D8"/>
    <w:rsid w:val="00175478"/>
    <w:rsid w:val="001767BA"/>
    <w:rsid w:val="00182813"/>
    <w:rsid w:val="00182B2B"/>
    <w:rsid w:val="00182E1C"/>
    <w:rsid w:val="001A600E"/>
    <w:rsid w:val="001B70C0"/>
    <w:rsid w:val="001C3095"/>
    <w:rsid w:val="001C465F"/>
    <w:rsid w:val="001C4F6D"/>
    <w:rsid w:val="001D24E9"/>
    <w:rsid w:val="001D33AB"/>
    <w:rsid w:val="001F49B8"/>
    <w:rsid w:val="002070F1"/>
    <w:rsid w:val="002105D8"/>
    <w:rsid w:val="002110B4"/>
    <w:rsid w:val="00212DDD"/>
    <w:rsid w:val="002134F3"/>
    <w:rsid w:val="00216893"/>
    <w:rsid w:val="002236C7"/>
    <w:rsid w:val="00223755"/>
    <w:rsid w:val="00241258"/>
    <w:rsid w:val="00243967"/>
    <w:rsid w:val="00244192"/>
    <w:rsid w:val="0025110F"/>
    <w:rsid w:val="00254E7A"/>
    <w:rsid w:val="00255361"/>
    <w:rsid w:val="002647CC"/>
    <w:rsid w:val="00270D8B"/>
    <w:rsid w:val="002730DF"/>
    <w:rsid w:val="00277917"/>
    <w:rsid w:val="00277EC8"/>
    <w:rsid w:val="00287967"/>
    <w:rsid w:val="00287A13"/>
    <w:rsid w:val="002900CB"/>
    <w:rsid w:val="002A5BDA"/>
    <w:rsid w:val="002B091A"/>
    <w:rsid w:val="002B1157"/>
    <w:rsid w:val="002B5583"/>
    <w:rsid w:val="002C18F4"/>
    <w:rsid w:val="002C68CB"/>
    <w:rsid w:val="002C7F8E"/>
    <w:rsid w:val="002D34C4"/>
    <w:rsid w:val="002D5300"/>
    <w:rsid w:val="002D6EFE"/>
    <w:rsid w:val="002E1FCB"/>
    <w:rsid w:val="002F12C0"/>
    <w:rsid w:val="002F7570"/>
    <w:rsid w:val="00301981"/>
    <w:rsid w:val="003032A1"/>
    <w:rsid w:val="00303C92"/>
    <w:rsid w:val="0030517F"/>
    <w:rsid w:val="00317D08"/>
    <w:rsid w:val="003201E1"/>
    <w:rsid w:val="00322AEF"/>
    <w:rsid w:val="00322C48"/>
    <w:rsid w:val="003230B6"/>
    <w:rsid w:val="003250AA"/>
    <w:rsid w:val="00332AE3"/>
    <w:rsid w:val="00344497"/>
    <w:rsid w:val="0035095A"/>
    <w:rsid w:val="00351EC0"/>
    <w:rsid w:val="003615D6"/>
    <w:rsid w:val="00370B2D"/>
    <w:rsid w:val="0038193B"/>
    <w:rsid w:val="00381E76"/>
    <w:rsid w:val="0038609C"/>
    <w:rsid w:val="003932D0"/>
    <w:rsid w:val="0039478A"/>
    <w:rsid w:val="003A57A6"/>
    <w:rsid w:val="003A7CCF"/>
    <w:rsid w:val="003B03D2"/>
    <w:rsid w:val="003B34BE"/>
    <w:rsid w:val="003B49B5"/>
    <w:rsid w:val="003B7204"/>
    <w:rsid w:val="003C2FB1"/>
    <w:rsid w:val="003C3F40"/>
    <w:rsid w:val="003C5427"/>
    <w:rsid w:val="003E0B16"/>
    <w:rsid w:val="003F05CC"/>
    <w:rsid w:val="003F7D7F"/>
    <w:rsid w:val="00401335"/>
    <w:rsid w:val="004024D3"/>
    <w:rsid w:val="004051F7"/>
    <w:rsid w:val="004059B4"/>
    <w:rsid w:val="00406FC2"/>
    <w:rsid w:val="0042692D"/>
    <w:rsid w:val="00433617"/>
    <w:rsid w:val="004456BB"/>
    <w:rsid w:val="00445DA9"/>
    <w:rsid w:val="004524E4"/>
    <w:rsid w:val="00452A1D"/>
    <w:rsid w:val="00455CAA"/>
    <w:rsid w:val="004745C1"/>
    <w:rsid w:val="00477257"/>
    <w:rsid w:val="00482227"/>
    <w:rsid w:val="00484273"/>
    <w:rsid w:val="00493204"/>
    <w:rsid w:val="004A4557"/>
    <w:rsid w:val="004B290F"/>
    <w:rsid w:val="004C450F"/>
    <w:rsid w:val="004C7ECC"/>
    <w:rsid w:val="004D0A40"/>
    <w:rsid w:val="004D413E"/>
    <w:rsid w:val="004D510F"/>
    <w:rsid w:val="004D6AD6"/>
    <w:rsid w:val="004E124D"/>
    <w:rsid w:val="004E587C"/>
    <w:rsid w:val="004E7593"/>
    <w:rsid w:val="0050196B"/>
    <w:rsid w:val="0051151D"/>
    <w:rsid w:val="00513841"/>
    <w:rsid w:val="00517310"/>
    <w:rsid w:val="00523F09"/>
    <w:rsid w:val="00523F96"/>
    <w:rsid w:val="00543A8D"/>
    <w:rsid w:val="00557A4A"/>
    <w:rsid w:val="0057732F"/>
    <w:rsid w:val="0058197D"/>
    <w:rsid w:val="0058416B"/>
    <w:rsid w:val="0058640A"/>
    <w:rsid w:val="0058755E"/>
    <w:rsid w:val="00591AFC"/>
    <w:rsid w:val="005B3CA4"/>
    <w:rsid w:val="005B3FC0"/>
    <w:rsid w:val="005C52E4"/>
    <w:rsid w:val="005D6F80"/>
    <w:rsid w:val="005D7691"/>
    <w:rsid w:val="005F1C46"/>
    <w:rsid w:val="00600169"/>
    <w:rsid w:val="00601D60"/>
    <w:rsid w:val="00603FB8"/>
    <w:rsid w:val="00605693"/>
    <w:rsid w:val="006056FD"/>
    <w:rsid w:val="00605EAB"/>
    <w:rsid w:val="00614C44"/>
    <w:rsid w:val="006221F0"/>
    <w:rsid w:val="0062300A"/>
    <w:rsid w:val="00626584"/>
    <w:rsid w:val="00627462"/>
    <w:rsid w:val="00632956"/>
    <w:rsid w:val="00634191"/>
    <w:rsid w:val="0063690C"/>
    <w:rsid w:val="00637CB9"/>
    <w:rsid w:val="00641167"/>
    <w:rsid w:val="00643B96"/>
    <w:rsid w:val="00645064"/>
    <w:rsid w:val="0064538E"/>
    <w:rsid w:val="00655C92"/>
    <w:rsid w:val="00656CBA"/>
    <w:rsid w:val="0066121A"/>
    <w:rsid w:val="00662A93"/>
    <w:rsid w:val="00662AF0"/>
    <w:rsid w:val="00663D5F"/>
    <w:rsid w:val="00680EFB"/>
    <w:rsid w:val="0068136D"/>
    <w:rsid w:val="00682377"/>
    <w:rsid w:val="0069141E"/>
    <w:rsid w:val="006952A9"/>
    <w:rsid w:val="006A220C"/>
    <w:rsid w:val="006A229C"/>
    <w:rsid w:val="006B349F"/>
    <w:rsid w:val="006B7999"/>
    <w:rsid w:val="006C5DFB"/>
    <w:rsid w:val="006D0943"/>
    <w:rsid w:val="006D55CF"/>
    <w:rsid w:val="006E13C5"/>
    <w:rsid w:val="006E3CBC"/>
    <w:rsid w:val="006F0B75"/>
    <w:rsid w:val="006F10B2"/>
    <w:rsid w:val="006F5E91"/>
    <w:rsid w:val="007059F4"/>
    <w:rsid w:val="00706E92"/>
    <w:rsid w:val="00710157"/>
    <w:rsid w:val="007112B5"/>
    <w:rsid w:val="007212B9"/>
    <w:rsid w:val="007271C9"/>
    <w:rsid w:val="00733304"/>
    <w:rsid w:val="0073407B"/>
    <w:rsid w:val="0073409C"/>
    <w:rsid w:val="00735CC5"/>
    <w:rsid w:val="00736A14"/>
    <w:rsid w:val="00746D08"/>
    <w:rsid w:val="00747016"/>
    <w:rsid w:val="00750F26"/>
    <w:rsid w:val="007538D3"/>
    <w:rsid w:val="0077046B"/>
    <w:rsid w:val="007742B7"/>
    <w:rsid w:val="00783AA2"/>
    <w:rsid w:val="00797F9C"/>
    <w:rsid w:val="007A119C"/>
    <w:rsid w:val="007A53FA"/>
    <w:rsid w:val="007B049A"/>
    <w:rsid w:val="007C2899"/>
    <w:rsid w:val="007C6EF7"/>
    <w:rsid w:val="007D141B"/>
    <w:rsid w:val="007D2623"/>
    <w:rsid w:val="007D3DB6"/>
    <w:rsid w:val="007D7B4A"/>
    <w:rsid w:val="007E0F91"/>
    <w:rsid w:val="007E1B94"/>
    <w:rsid w:val="007E41D9"/>
    <w:rsid w:val="007E6DA7"/>
    <w:rsid w:val="007F23A7"/>
    <w:rsid w:val="007F32CA"/>
    <w:rsid w:val="007F44B4"/>
    <w:rsid w:val="007F578A"/>
    <w:rsid w:val="007F70C2"/>
    <w:rsid w:val="00801782"/>
    <w:rsid w:val="00806156"/>
    <w:rsid w:val="008207F6"/>
    <w:rsid w:val="008277D2"/>
    <w:rsid w:val="008335F4"/>
    <w:rsid w:val="00845794"/>
    <w:rsid w:val="00845CD1"/>
    <w:rsid w:val="00851970"/>
    <w:rsid w:val="0085487F"/>
    <w:rsid w:val="00873CF0"/>
    <w:rsid w:val="00874AA6"/>
    <w:rsid w:val="00877BBD"/>
    <w:rsid w:val="008916C0"/>
    <w:rsid w:val="00891EC6"/>
    <w:rsid w:val="00895290"/>
    <w:rsid w:val="008A074D"/>
    <w:rsid w:val="008A6255"/>
    <w:rsid w:val="008A6827"/>
    <w:rsid w:val="008B2581"/>
    <w:rsid w:val="008B48E0"/>
    <w:rsid w:val="008B61E8"/>
    <w:rsid w:val="008D189F"/>
    <w:rsid w:val="008E2AA9"/>
    <w:rsid w:val="008F15F1"/>
    <w:rsid w:val="00900EE5"/>
    <w:rsid w:val="00902B6D"/>
    <w:rsid w:val="0091208D"/>
    <w:rsid w:val="00916AE4"/>
    <w:rsid w:val="00921793"/>
    <w:rsid w:val="0092359A"/>
    <w:rsid w:val="00923967"/>
    <w:rsid w:val="00925630"/>
    <w:rsid w:val="009346E3"/>
    <w:rsid w:val="009348E4"/>
    <w:rsid w:val="00942A66"/>
    <w:rsid w:val="00954A9A"/>
    <w:rsid w:val="00955018"/>
    <w:rsid w:val="00955EB2"/>
    <w:rsid w:val="00956B2F"/>
    <w:rsid w:val="00971210"/>
    <w:rsid w:val="00984768"/>
    <w:rsid w:val="009860F5"/>
    <w:rsid w:val="0098708C"/>
    <w:rsid w:val="00993604"/>
    <w:rsid w:val="0099732E"/>
    <w:rsid w:val="009A535D"/>
    <w:rsid w:val="009A617F"/>
    <w:rsid w:val="009B22EE"/>
    <w:rsid w:val="009B47B5"/>
    <w:rsid w:val="009B50E1"/>
    <w:rsid w:val="009C0F94"/>
    <w:rsid w:val="009C1B63"/>
    <w:rsid w:val="009C4F11"/>
    <w:rsid w:val="009C51BA"/>
    <w:rsid w:val="009D217E"/>
    <w:rsid w:val="009D5FA0"/>
    <w:rsid w:val="009E4D7B"/>
    <w:rsid w:val="009F4C7B"/>
    <w:rsid w:val="009F6362"/>
    <w:rsid w:val="009F70B3"/>
    <w:rsid w:val="00A01630"/>
    <w:rsid w:val="00A0215D"/>
    <w:rsid w:val="00A056FC"/>
    <w:rsid w:val="00A06C17"/>
    <w:rsid w:val="00A06D73"/>
    <w:rsid w:val="00A10109"/>
    <w:rsid w:val="00A21207"/>
    <w:rsid w:val="00A21635"/>
    <w:rsid w:val="00A3030B"/>
    <w:rsid w:val="00A33DB4"/>
    <w:rsid w:val="00A33EFA"/>
    <w:rsid w:val="00A4060B"/>
    <w:rsid w:val="00A42F5B"/>
    <w:rsid w:val="00A46DE3"/>
    <w:rsid w:val="00A47CA6"/>
    <w:rsid w:val="00A550A6"/>
    <w:rsid w:val="00A62B2D"/>
    <w:rsid w:val="00A7057A"/>
    <w:rsid w:val="00A70AD1"/>
    <w:rsid w:val="00A8034D"/>
    <w:rsid w:val="00A80C4D"/>
    <w:rsid w:val="00A81F3F"/>
    <w:rsid w:val="00A91B3D"/>
    <w:rsid w:val="00AA501D"/>
    <w:rsid w:val="00AB1201"/>
    <w:rsid w:val="00AC3CF5"/>
    <w:rsid w:val="00AC78A7"/>
    <w:rsid w:val="00AD4755"/>
    <w:rsid w:val="00AD4B34"/>
    <w:rsid w:val="00AD5A0F"/>
    <w:rsid w:val="00AE040F"/>
    <w:rsid w:val="00AE1876"/>
    <w:rsid w:val="00AE3E6A"/>
    <w:rsid w:val="00AE7A7A"/>
    <w:rsid w:val="00AF4134"/>
    <w:rsid w:val="00AF5AEB"/>
    <w:rsid w:val="00B01DEB"/>
    <w:rsid w:val="00B03225"/>
    <w:rsid w:val="00B06AA9"/>
    <w:rsid w:val="00B14F09"/>
    <w:rsid w:val="00B21921"/>
    <w:rsid w:val="00B24C08"/>
    <w:rsid w:val="00B2676B"/>
    <w:rsid w:val="00B303F9"/>
    <w:rsid w:val="00B3051C"/>
    <w:rsid w:val="00B32006"/>
    <w:rsid w:val="00B33F47"/>
    <w:rsid w:val="00B342BA"/>
    <w:rsid w:val="00B36CE1"/>
    <w:rsid w:val="00B43C24"/>
    <w:rsid w:val="00B522B1"/>
    <w:rsid w:val="00B52846"/>
    <w:rsid w:val="00B531B5"/>
    <w:rsid w:val="00B55F8C"/>
    <w:rsid w:val="00B57873"/>
    <w:rsid w:val="00B613A4"/>
    <w:rsid w:val="00B650FD"/>
    <w:rsid w:val="00B76EE1"/>
    <w:rsid w:val="00B851C4"/>
    <w:rsid w:val="00B902CB"/>
    <w:rsid w:val="00BA2421"/>
    <w:rsid w:val="00BA6F2A"/>
    <w:rsid w:val="00BA7BFA"/>
    <w:rsid w:val="00BB1167"/>
    <w:rsid w:val="00BB3907"/>
    <w:rsid w:val="00BB58EA"/>
    <w:rsid w:val="00BB5916"/>
    <w:rsid w:val="00BB795D"/>
    <w:rsid w:val="00BC7B79"/>
    <w:rsid w:val="00BC7E2A"/>
    <w:rsid w:val="00BD453D"/>
    <w:rsid w:val="00BD583A"/>
    <w:rsid w:val="00BD68CA"/>
    <w:rsid w:val="00BD70B0"/>
    <w:rsid w:val="00BE0B3C"/>
    <w:rsid w:val="00BE4121"/>
    <w:rsid w:val="00BF2A0F"/>
    <w:rsid w:val="00BF5F94"/>
    <w:rsid w:val="00C01BD9"/>
    <w:rsid w:val="00C03694"/>
    <w:rsid w:val="00C04333"/>
    <w:rsid w:val="00C053C4"/>
    <w:rsid w:val="00C13D53"/>
    <w:rsid w:val="00C16714"/>
    <w:rsid w:val="00C21639"/>
    <w:rsid w:val="00C25B40"/>
    <w:rsid w:val="00C3140F"/>
    <w:rsid w:val="00C5008D"/>
    <w:rsid w:val="00C51A03"/>
    <w:rsid w:val="00C6577A"/>
    <w:rsid w:val="00C71C5B"/>
    <w:rsid w:val="00C71CFA"/>
    <w:rsid w:val="00C853E8"/>
    <w:rsid w:val="00CA166B"/>
    <w:rsid w:val="00CA200E"/>
    <w:rsid w:val="00CA6A3C"/>
    <w:rsid w:val="00CB3CBB"/>
    <w:rsid w:val="00CB769E"/>
    <w:rsid w:val="00CC05F5"/>
    <w:rsid w:val="00CD0C46"/>
    <w:rsid w:val="00CD4EE1"/>
    <w:rsid w:val="00CF4018"/>
    <w:rsid w:val="00CF7969"/>
    <w:rsid w:val="00D00AC8"/>
    <w:rsid w:val="00D02998"/>
    <w:rsid w:val="00D153A8"/>
    <w:rsid w:val="00D23C52"/>
    <w:rsid w:val="00D25C33"/>
    <w:rsid w:val="00D33A38"/>
    <w:rsid w:val="00D44DE8"/>
    <w:rsid w:val="00D4731A"/>
    <w:rsid w:val="00D51F6D"/>
    <w:rsid w:val="00D575AE"/>
    <w:rsid w:val="00D64420"/>
    <w:rsid w:val="00D67673"/>
    <w:rsid w:val="00D7184D"/>
    <w:rsid w:val="00D8306C"/>
    <w:rsid w:val="00D83469"/>
    <w:rsid w:val="00D87BBD"/>
    <w:rsid w:val="00D9653F"/>
    <w:rsid w:val="00D96BE1"/>
    <w:rsid w:val="00DA4430"/>
    <w:rsid w:val="00DA6CAF"/>
    <w:rsid w:val="00DB3CF0"/>
    <w:rsid w:val="00DC7A07"/>
    <w:rsid w:val="00DD350A"/>
    <w:rsid w:val="00DE410C"/>
    <w:rsid w:val="00DF131B"/>
    <w:rsid w:val="00DF1EAF"/>
    <w:rsid w:val="00DF229E"/>
    <w:rsid w:val="00E02B06"/>
    <w:rsid w:val="00E06149"/>
    <w:rsid w:val="00E1608E"/>
    <w:rsid w:val="00E2039E"/>
    <w:rsid w:val="00E2053E"/>
    <w:rsid w:val="00E30D63"/>
    <w:rsid w:val="00E30F25"/>
    <w:rsid w:val="00E34BE1"/>
    <w:rsid w:val="00E37480"/>
    <w:rsid w:val="00E431D3"/>
    <w:rsid w:val="00E5459C"/>
    <w:rsid w:val="00E603C1"/>
    <w:rsid w:val="00E643EC"/>
    <w:rsid w:val="00E64458"/>
    <w:rsid w:val="00E723E8"/>
    <w:rsid w:val="00E80705"/>
    <w:rsid w:val="00E81070"/>
    <w:rsid w:val="00E87702"/>
    <w:rsid w:val="00E92DEB"/>
    <w:rsid w:val="00E9592B"/>
    <w:rsid w:val="00E96F52"/>
    <w:rsid w:val="00EA4A2A"/>
    <w:rsid w:val="00EA7A58"/>
    <w:rsid w:val="00EB2541"/>
    <w:rsid w:val="00EC095F"/>
    <w:rsid w:val="00EC177E"/>
    <w:rsid w:val="00EC7E84"/>
    <w:rsid w:val="00ED0F59"/>
    <w:rsid w:val="00ED4767"/>
    <w:rsid w:val="00ED7F19"/>
    <w:rsid w:val="00EE35D5"/>
    <w:rsid w:val="00EE6CA4"/>
    <w:rsid w:val="00EF3FC1"/>
    <w:rsid w:val="00EF4285"/>
    <w:rsid w:val="00F0307D"/>
    <w:rsid w:val="00F0618B"/>
    <w:rsid w:val="00F10295"/>
    <w:rsid w:val="00F11AC2"/>
    <w:rsid w:val="00F145EB"/>
    <w:rsid w:val="00F21692"/>
    <w:rsid w:val="00F223CF"/>
    <w:rsid w:val="00F27AA8"/>
    <w:rsid w:val="00F30B50"/>
    <w:rsid w:val="00F4022D"/>
    <w:rsid w:val="00F51B55"/>
    <w:rsid w:val="00F52375"/>
    <w:rsid w:val="00F6170A"/>
    <w:rsid w:val="00F640C5"/>
    <w:rsid w:val="00F67401"/>
    <w:rsid w:val="00F76C39"/>
    <w:rsid w:val="00F84393"/>
    <w:rsid w:val="00F86EB4"/>
    <w:rsid w:val="00F8723B"/>
    <w:rsid w:val="00F93B03"/>
    <w:rsid w:val="00F951D5"/>
    <w:rsid w:val="00F97889"/>
    <w:rsid w:val="00FA209F"/>
    <w:rsid w:val="00FB2820"/>
    <w:rsid w:val="00FC6B57"/>
    <w:rsid w:val="00FE2BF9"/>
    <w:rsid w:val="00FE35B2"/>
    <w:rsid w:val="00FF3FAD"/>
    <w:rsid w:val="00FF588B"/>
    <w:rsid w:val="00FF79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3475F"/>
  <w15:docId w15:val="{F9531A14-8129-42B9-AD07-4A5807FE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496"/>
    <w:rPr>
      <w:rFonts w:ascii="Verdana" w:hAnsi="Verdana"/>
      <w:lang w:val="ca-ES" w:eastAsia="ca-ES"/>
    </w:rPr>
  </w:style>
  <w:style w:type="paragraph" w:styleId="Ttol1">
    <w:name w:val="heading 1"/>
    <w:basedOn w:val="Normal"/>
    <w:next w:val="Normal"/>
    <w:qFormat/>
    <w:rsid w:val="00C853E8"/>
    <w:pPr>
      <w:keepNext/>
      <w:shd w:val="clear" w:color="auto" w:fill="C0C0C0"/>
      <w:tabs>
        <w:tab w:val="left" w:pos="5670"/>
        <w:tab w:val="left" w:pos="6237"/>
      </w:tabs>
      <w:spacing w:before="60" w:after="60"/>
      <w:jc w:val="center"/>
      <w:outlineLvl w:val="0"/>
    </w:pPr>
    <w:rPr>
      <w:rFonts w:ascii="Arial" w:hAnsi="Arial"/>
      <w:b/>
      <w:color w:val="000000"/>
    </w:rPr>
  </w:style>
  <w:style w:type="paragraph" w:styleId="Ttol2">
    <w:name w:val="heading 2"/>
    <w:basedOn w:val="Normal"/>
    <w:next w:val="Normal"/>
    <w:qFormat/>
    <w:rsid w:val="00C853E8"/>
    <w:pPr>
      <w:keepNext/>
      <w:shd w:val="clear" w:color="auto" w:fill="C0C0C0"/>
      <w:tabs>
        <w:tab w:val="left" w:pos="5670"/>
        <w:tab w:val="left" w:pos="6237"/>
      </w:tabs>
      <w:spacing w:before="120"/>
      <w:jc w:val="center"/>
      <w:outlineLvl w:val="1"/>
    </w:pPr>
    <w:rPr>
      <w:rFonts w:ascii="Arial" w:hAnsi="Arial"/>
      <w:b/>
    </w:rPr>
  </w:style>
  <w:style w:type="paragraph" w:styleId="Ttol3">
    <w:name w:val="heading 3"/>
    <w:basedOn w:val="Normal"/>
    <w:next w:val="Normal"/>
    <w:qFormat/>
    <w:rsid w:val="00C853E8"/>
    <w:pPr>
      <w:keepNext/>
      <w:spacing w:before="120" w:after="120" w:line="240" w:lineRule="exact"/>
      <w:jc w:val="center"/>
      <w:outlineLvl w:val="2"/>
    </w:pPr>
    <w:rPr>
      <w:rFonts w:ascii="Arial" w:hAnsi="Arial"/>
      <w: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C853E8"/>
    <w:pPr>
      <w:jc w:val="both"/>
    </w:pPr>
    <w:rPr>
      <w:rFonts w:ascii="Swiss" w:hAnsi="Swiss"/>
      <w:sz w:val="16"/>
    </w:rPr>
  </w:style>
  <w:style w:type="paragraph" w:styleId="Textindependent">
    <w:name w:val="Body Text"/>
    <w:basedOn w:val="Normal"/>
    <w:link w:val="TextindependentCar"/>
    <w:semiHidden/>
    <w:rsid w:val="00C853E8"/>
    <w:pPr>
      <w:jc w:val="both"/>
    </w:pPr>
    <w:rPr>
      <w:rFonts w:ascii="Arial" w:hAnsi="Arial"/>
      <w:sz w:val="22"/>
    </w:rPr>
  </w:style>
  <w:style w:type="paragraph" w:styleId="Textindependent2">
    <w:name w:val="Body Text 2"/>
    <w:basedOn w:val="Normal"/>
    <w:link w:val="Textindependent2Car"/>
    <w:semiHidden/>
    <w:rsid w:val="00C853E8"/>
    <w:pPr>
      <w:jc w:val="both"/>
    </w:pPr>
    <w:rPr>
      <w:rFonts w:ascii="Arial" w:hAnsi="Arial"/>
    </w:rPr>
  </w:style>
  <w:style w:type="paragraph" w:styleId="Textdeglobus">
    <w:name w:val="Balloon Text"/>
    <w:basedOn w:val="Normal"/>
    <w:link w:val="TextdeglobusCar"/>
    <w:uiPriority w:val="99"/>
    <w:semiHidden/>
    <w:unhideWhenUsed/>
    <w:rsid w:val="00AE040F"/>
    <w:rPr>
      <w:rFonts w:ascii="Tahoma" w:hAnsi="Tahoma"/>
      <w:spacing w:val="30"/>
      <w:sz w:val="16"/>
      <w:szCs w:val="16"/>
      <w:lang w:val="x-none" w:eastAsia="x-none"/>
    </w:rPr>
  </w:style>
  <w:style w:type="character" w:customStyle="1" w:styleId="TextdeglobusCar">
    <w:name w:val="Text de globus Car"/>
    <w:link w:val="Textdeglobus"/>
    <w:uiPriority w:val="99"/>
    <w:semiHidden/>
    <w:rsid w:val="00AE040F"/>
    <w:rPr>
      <w:rFonts w:ascii="Tahoma" w:hAnsi="Tahoma" w:cs="Tahoma"/>
      <w:spacing w:val="30"/>
      <w:sz w:val="16"/>
      <w:szCs w:val="16"/>
    </w:rPr>
  </w:style>
  <w:style w:type="character" w:customStyle="1" w:styleId="TextindependentCar">
    <w:name w:val="Text independent Car"/>
    <w:link w:val="Textindependent"/>
    <w:semiHidden/>
    <w:rsid w:val="000A5644"/>
    <w:rPr>
      <w:rFonts w:ascii="Arial" w:hAnsi="Arial"/>
      <w:sz w:val="22"/>
    </w:rPr>
  </w:style>
  <w:style w:type="character" w:customStyle="1" w:styleId="Textindependent2Car">
    <w:name w:val="Text independent 2 Car"/>
    <w:link w:val="Textindependent2"/>
    <w:semiHidden/>
    <w:rsid w:val="000A5644"/>
    <w:rPr>
      <w:rFonts w:ascii="Arial" w:hAnsi="Arial"/>
    </w:rPr>
  </w:style>
  <w:style w:type="paragraph" w:customStyle="1" w:styleId="Default">
    <w:name w:val="Default"/>
    <w:rsid w:val="00916AE4"/>
    <w:pPr>
      <w:autoSpaceDE w:val="0"/>
      <w:autoSpaceDN w:val="0"/>
      <w:adjustRightInd w:val="0"/>
    </w:pPr>
    <w:rPr>
      <w:rFonts w:ascii="Arial" w:hAnsi="Arial" w:cs="Arial"/>
      <w:color w:val="000000"/>
      <w:sz w:val="24"/>
      <w:szCs w:val="24"/>
      <w:lang w:val="ca-ES" w:eastAsia="ca-ES"/>
    </w:rPr>
  </w:style>
  <w:style w:type="character" w:styleId="Refernciadecomentari">
    <w:name w:val="annotation reference"/>
    <w:basedOn w:val="Lletraperdefectedelpargraf"/>
    <w:semiHidden/>
    <w:unhideWhenUsed/>
    <w:rsid w:val="00303C92"/>
    <w:rPr>
      <w:sz w:val="16"/>
      <w:szCs w:val="16"/>
    </w:rPr>
  </w:style>
  <w:style w:type="paragraph" w:styleId="Textdecomentari">
    <w:name w:val="annotation text"/>
    <w:basedOn w:val="Normal"/>
    <w:link w:val="TextdecomentariCar"/>
    <w:unhideWhenUsed/>
    <w:rsid w:val="00303C92"/>
  </w:style>
  <w:style w:type="character" w:customStyle="1" w:styleId="TextdecomentariCar">
    <w:name w:val="Text de comentari Car"/>
    <w:basedOn w:val="Lletraperdefectedelpargraf"/>
    <w:link w:val="Textdecomentari"/>
    <w:uiPriority w:val="99"/>
    <w:rsid w:val="00303C92"/>
    <w:rPr>
      <w:rFonts w:ascii="Verdana" w:hAnsi="Verdana"/>
      <w:lang w:val="ca-ES" w:eastAsia="ca-ES"/>
    </w:rPr>
  </w:style>
  <w:style w:type="paragraph" w:styleId="Temadelcomentari">
    <w:name w:val="annotation subject"/>
    <w:basedOn w:val="Textdecomentari"/>
    <w:next w:val="Textdecomentari"/>
    <w:link w:val="TemadelcomentariCar"/>
    <w:uiPriority w:val="99"/>
    <w:semiHidden/>
    <w:unhideWhenUsed/>
    <w:rsid w:val="00303C92"/>
    <w:rPr>
      <w:b/>
      <w:bCs/>
    </w:rPr>
  </w:style>
  <w:style w:type="character" w:customStyle="1" w:styleId="TemadelcomentariCar">
    <w:name w:val="Tema del comentari Car"/>
    <w:basedOn w:val="TextdecomentariCar"/>
    <w:link w:val="Temadelcomentari"/>
    <w:uiPriority w:val="99"/>
    <w:semiHidden/>
    <w:rsid w:val="00303C92"/>
    <w:rPr>
      <w:rFonts w:ascii="Verdana" w:hAnsi="Verdana"/>
      <w:b/>
      <w:bCs/>
      <w:lang w:val="ca-ES" w:eastAsia="ca-ES"/>
    </w:rPr>
  </w:style>
  <w:style w:type="paragraph" w:styleId="Capalera">
    <w:name w:val="header"/>
    <w:basedOn w:val="Normal"/>
    <w:link w:val="CapaleraCar"/>
    <w:uiPriority w:val="99"/>
    <w:unhideWhenUsed/>
    <w:rsid w:val="009C4F11"/>
    <w:pPr>
      <w:tabs>
        <w:tab w:val="center" w:pos="4252"/>
        <w:tab w:val="right" w:pos="8504"/>
      </w:tabs>
    </w:pPr>
  </w:style>
  <w:style w:type="character" w:customStyle="1" w:styleId="CapaleraCar">
    <w:name w:val="Capçalera Car"/>
    <w:basedOn w:val="Lletraperdefectedelpargraf"/>
    <w:link w:val="Capalera"/>
    <w:uiPriority w:val="99"/>
    <w:rsid w:val="009C4F11"/>
    <w:rPr>
      <w:rFonts w:ascii="Verdana" w:hAnsi="Verdana"/>
      <w:lang w:val="ca-ES" w:eastAsia="ca-ES"/>
    </w:rPr>
  </w:style>
  <w:style w:type="paragraph" w:styleId="Peu">
    <w:name w:val="footer"/>
    <w:basedOn w:val="Normal"/>
    <w:link w:val="PeuCar"/>
    <w:uiPriority w:val="99"/>
    <w:unhideWhenUsed/>
    <w:rsid w:val="009C4F11"/>
    <w:pPr>
      <w:tabs>
        <w:tab w:val="center" w:pos="4252"/>
        <w:tab w:val="right" w:pos="8504"/>
      </w:tabs>
    </w:pPr>
  </w:style>
  <w:style w:type="character" w:customStyle="1" w:styleId="PeuCar">
    <w:name w:val="Peu Car"/>
    <w:basedOn w:val="Lletraperdefectedelpargraf"/>
    <w:link w:val="Peu"/>
    <w:uiPriority w:val="99"/>
    <w:rsid w:val="009C4F11"/>
    <w:rPr>
      <w:rFonts w:ascii="Verdana" w:hAnsi="Verdana"/>
      <w:lang w:val="ca-ES" w:eastAsia="ca-ES"/>
    </w:rPr>
  </w:style>
  <w:style w:type="paragraph" w:styleId="Pargrafdellista">
    <w:name w:val="List Paragraph"/>
    <w:basedOn w:val="Normal"/>
    <w:link w:val="PargrafdellistaCar"/>
    <w:uiPriority w:val="34"/>
    <w:qFormat/>
    <w:rsid w:val="00F76C39"/>
    <w:pPr>
      <w:spacing w:after="160" w:line="259" w:lineRule="auto"/>
      <w:ind w:left="720"/>
      <w:contextualSpacing/>
    </w:pPr>
    <w:rPr>
      <w:rFonts w:eastAsiaTheme="minorHAnsi" w:cstheme="minorBidi"/>
      <w:sz w:val="22"/>
      <w:szCs w:val="22"/>
      <w:lang w:val="es-ES" w:eastAsia="en-US"/>
    </w:rPr>
  </w:style>
  <w:style w:type="character" w:customStyle="1" w:styleId="PargrafdellistaCar">
    <w:name w:val="Paràgraf de llista Car"/>
    <w:basedOn w:val="Lletraperdefectedelpargraf"/>
    <w:link w:val="Pargrafdellista"/>
    <w:uiPriority w:val="34"/>
    <w:locked/>
    <w:rsid w:val="00F76C39"/>
    <w:rPr>
      <w:rFonts w:ascii="Verdana" w:eastAsiaTheme="minorHAnsi" w:hAnsi="Verdana"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8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F5860F247344CAD0CE3F454F6D2AE" ma:contentTypeVersion="19" ma:contentTypeDescription="Crea un document nou" ma:contentTypeScope="" ma:versionID="7f6b62fa4f2ea496012b2f3258014aa1">
  <xsd:schema xmlns:xsd="http://www.w3.org/2001/XMLSchema" xmlns:xs="http://www.w3.org/2001/XMLSchema" xmlns:p="http://schemas.microsoft.com/office/2006/metadata/properties" xmlns:ns2="0f9ad582-fa82-44a0-80f7-7e7a83e33223" xmlns:ns3="d37c1e5a-baf5-4537-8fa9-5ca48f5fd23a" targetNamespace="http://schemas.microsoft.com/office/2006/metadata/properties" ma:root="true" ma:fieldsID="8a180143dbd1d2cc8d91e583b803cabc" ns2:_="" ns3:_="">
    <xsd:import namespace="0f9ad582-fa82-44a0-80f7-7e7a83e33223"/>
    <xsd:import namespace="d37c1e5a-baf5-4537-8fa9-5ca48f5fd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ad582-fa82-44a0-80f7-7e7a83e33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24f586c2-fd55-4a8a-95ea-d17d0c90b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c1e5a-baf5-4537-8fa9-5ca48f5fd23a"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51fd251d-09fc-405b-9a92-60e648356054}" ma:internalName="TaxCatchAll" ma:showField="CatchAllData" ma:web="d37c1e5a-baf5-4537-8fa9-5ca48f5fd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37c1e5a-baf5-4537-8fa9-5ca48f5fd23a" xsi:nil="true"/>
    <lcf76f155ced4ddcb4097134ff3c332f xmlns="0f9ad582-fa82-44a0-80f7-7e7a83e332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66CA38-4480-4342-8363-6C3D95A99072}"/>
</file>

<file path=customXml/itemProps2.xml><?xml version="1.0" encoding="utf-8"?>
<ds:datastoreItem xmlns:ds="http://schemas.openxmlformats.org/officeDocument/2006/customXml" ds:itemID="{EC212499-2F29-4631-B0CA-8F0D0C48BFFA}">
  <ds:schemaRefs>
    <ds:schemaRef ds:uri="http://schemas.microsoft.com/sharepoint/v3/contenttype/forms"/>
  </ds:schemaRefs>
</ds:datastoreItem>
</file>

<file path=customXml/itemProps3.xml><?xml version="1.0" encoding="utf-8"?>
<ds:datastoreItem xmlns:ds="http://schemas.openxmlformats.org/officeDocument/2006/customXml" ds:itemID="{553FC574-AF8E-4B2A-9326-FF0D0DF948E9}">
  <ds:schemaRefs>
    <ds:schemaRef ds:uri="http://schemas.openxmlformats.org/officeDocument/2006/bibliography"/>
  </ds:schemaRefs>
</ds:datastoreItem>
</file>

<file path=customXml/itemProps4.xml><?xml version="1.0" encoding="utf-8"?>
<ds:datastoreItem xmlns:ds="http://schemas.openxmlformats.org/officeDocument/2006/customXml" ds:itemID="{9A3D1EC0-D8F1-4AD5-A286-59B3516D26D9}">
  <ds:schemaRefs>
    <ds:schemaRef ds:uri="http://schemas.microsoft.com/office/2006/metadata/properties"/>
    <ds:schemaRef ds:uri="http://schemas.microsoft.com/office/infopath/2007/PartnerControls"/>
    <ds:schemaRef ds:uri="d37c1e5a-baf5-4537-8fa9-5ca48f5fd23a"/>
    <ds:schemaRef ds:uri="0f9ad582-fa82-44a0-80f7-7e7a83e33223"/>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2</Pages>
  <Words>1197</Words>
  <Characters>6823</Characters>
  <Application>Microsoft Office Word</Application>
  <DocSecurity>0</DocSecurity>
  <Lines>56</Lines>
  <Paragraphs>16</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Ordenació arxiu bibliogràfic i documental</vt:lpstr>
      <vt:lpstr>Ordenació arxiu bibliogràfic i documental</vt:lpstr>
      <vt:lpstr>Ordenació arxiu bibliogràfic i documental</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Patrici Scarpino</cp:lastModifiedBy>
  <cp:revision>359</cp:revision>
  <cp:lastPrinted>2019-11-28T09:17:00Z</cp:lastPrinted>
  <dcterms:created xsi:type="dcterms:W3CDTF">2018-02-07T13:56:00Z</dcterms:created>
  <dcterms:modified xsi:type="dcterms:W3CDTF">2025-12-10T14:10:00Z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0x01010033BF5860F247344CAD0CE3F454F6D2AE</vt:lpwstr>
  </property>
  <property fmtid="{D5CDD505-2E9C-101B-9397-08002B2CF9AE}" pid="3" name="MediaServiceImageTags">
    <vt:lpwstr/>
  </property>
</Properties>
</file>