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543D4C" w:rsidRPr="00543D4C">
        <w:rPr>
          <w:rFonts w:ascii="Verdana" w:hAnsi="Verdana"/>
          <w:b/>
          <w:sz w:val="20"/>
          <w:szCs w:val="20"/>
          <w:u w:val="single"/>
        </w:rPr>
        <w:t>1515/2025/1432</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543D4C"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543D4C"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543D4C"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543D4C"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543D4C"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543D4C"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543D4C"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543D4C"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543D4C"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43D4C"/>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D06F4-2EA8-4950-9236-B06CBF1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2025-12-09T13:00:00Z</dcterms:modified>
</cp:coreProperties>
</file>