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528AD460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991C66">
        <w:rPr>
          <w:rFonts w:ascii="Century Gothic" w:hAnsi="Century Gothic" w:cs="Times New Roman"/>
          <w:b/>
          <w:u w:val="single"/>
        </w:rPr>
        <w:t>3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</w:t>
      </w:r>
    </w:p>
    <w:p w14:paraId="47B2A8EE" w14:textId="3C8E726C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</w:t>
      </w:r>
      <w:r w:rsidR="00991C66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991C66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630BD65D" w14:textId="14C1FFAD" w:rsidR="00991C66" w:rsidRPr="00C22D7F" w:rsidRDefault="00991C66" w:rsidP="00991C66">
      <w:pPr>
        <w:spacing w:after="200" w:line="240" w:lineRule="auto"/>
        <w:jc w:val="both"/>
        <w:rPr>
          <w:rFonts w:ascii="Century Gothic" w:hAnsi="Century Gothic"/>
        </w:rPr>
      </w:pPr>
      <w:r w:rsidRPr="00C22D7F">
        <w:rPr>
          <w:rFonts w:ascii="Century Gothic" w:hAnsi="Century Gothic"/>
          <w:b/>
        </w:rPr>
        <w:t>1.-</w:t>
      </w:r>
      <w:r w:rsidRPr="00C22D7F">
        <w:rPr>
          <w:rFonts w:ascii="Century Gothic" w:hAnsi="Century Gothic"/>
        </w:rPr>
        <w:t xml:space="preserve"> La millora en els preus unitaris, puntuable fins a un màxim de 70 punts, segons consta a l’annex </w:t>
      </w:r>
      <w:r>
        <w:rPr>
          <w:rFonts w:ascii="Century Gothic" w:hAnsi="Century Gothic"/>
        </w:rPr>
        <w:t>3.2</w:t>
      </w:r>
      <w:r w:rsidRPr="00C22D7F">
        <w:rPr>
          <w:rFonts w:ascii="Century Gothic" w:hAnsi="Century Gothic"/>
        </w:rPr>
        <w:t>.</w:t>
      </w:r>
    </w:p>
    <w:p w14:paraId="582B8B85" w14:textId="77777777" w:rsidR="00991C66" w:rsidRPr="00C22D7F" w:rsidRDefault="00991C66" w:rsidP="00991C66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031DDC">
        <w:rPr>
          <w:rFonts w:ascii="Century Gothic" w:hAnsi="Century Gothic"/>
          <w:b/>
        </w:rPr>
        <w:t>2.-</w:t>
      </w:r>
      <w:r w:rsidRPr="00C22D7F"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lang w:eastAsia="es-ES"/>
        </w:rPr>
        <w:t>El g</w:t>
      </w:r>
      <w:r w:rsidRPr="00C22D7F">
        <w:rPr>
          <w:rFonts w:ascii="Century Gothic" w:eastAsia="Arial" w:hAnsi="Century Gothic" w:cs="Arial"/>
          <w:lang w:eastAsia="es-ES"/>
        </w:rPr>
        <w:t>rau de cobertura en distribució de la xarxa pròpia d’oficines (fins a un màxim de 30 punts).</w:t>
      </w:r>
      <w:r w:rsidRPr="00C22D7F">
        <w:rPr>
          <w:rFonts w:ascii="Century Gothic" w:eastAsia="Arial" w:hAnsi="Century Gothic" w:cs="Arial"/>
          <w:b/>
          <w:lang w:eastAsia="es-ES"/>
        </w:rPr>
        <w:t xml:space="preserve"> </w:t>
      </w:r>
    </w:p>
    <w:p w14:paraId="19945013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69D0ABD0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r w:rsidRPr="00C22D7F">
        <w:rPr>
          <w:rFonts w:ascii="Century Gothic" w:eastAsia="SimSun" w:hAnsi="Century Gothic" w:cs="Mangal"/>
          <w:kern w:val="3"/>
          <w:lang w:eastAsia="zh-CN" w:bidi="hi-IN"/>
        </w:rPr>
        <w:t>2.1- Oficines adscrites a l’execució del contracte per a la distribució, en municipis de la Comunitat Autònoma de Catalunya amb població inferior a 20.000 habitants (fins a 10 punts).</w:t>
      </w:r>
      <w:r>
        <w:rPr>
          <w:rFonts w:ascii="Century Gothic" w:eastAsia="SimSun" w:hAnsi="Century Gothic" w:cs="Mangal"/>
          <w:kern w:val="3"/>
          <w:lang w:eastAsia="zh-CN" w:bidi="hi-IN"/>
        </w:rPr>
        <w:t xml:space="preserve"> </w:t>
      </w:r>
    </w:p>
    <w:p w14:paraId="055C2C46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bookmarkStart w:id="0" w:name="_Hlk39155360"/>
    </w:p>
    <w:p w14:paraId="3C1B2783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r>
        <w:rPr>
          <w:rFonts w:ascii="Century Gothic" w:eastAsia="SimSun" w:hAnsi="Century Gothic" w:cs="Mangal"/>
          <w:kern w:val="3"/>
          <w:lang w:eastAsia="zh-CN" w:bidi="hi-IN"/>
        </w:rPr>
        <w:t xml:space="preserve">Enumerar les oficines amb el nom del municipi on estan ubicades. </w:t>
      </w:r>
    </w:p>
    <w:bookmarkStart w:id="1" w:name="_Hlk43383031" w:displacedByCustomXml="next"/>
    <w:sdt>
      <w:sdtPr>
        <w:rPr>
          <w:rFonts w:ascii="Century Gothic" w:eastAsia="SimSun" w:hAnsi="Century Gothic" w:cs="Mangal"/>
          <w:kern w:val="3"/>
          <w:lang w:eastAsia="zh-CN" w:bidi="hi-IN"/>
        </w:rPr>
        <w:id w:val="272914829"/>
        <w:placeholder>
          <w:docPart w:val="A6D9FAAEFE7F4E53AD05E6A8119AC5FF"/>
        </w:placeholder>
      </w:sdtPr>
      <w:sdtContent>
        <w:p w14:paraId="78C79B43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 xml:space="preserve">1.- </w:t>
          </w:r>
        </w:p>
        <w:p w14:paraId="1C9C4EE8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2.-</w:t>
          </w:r>
        </w:p>
        <w:p w14:paraId="338BCD9C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3.-</w:t>
          </w:r>
        </w:p>
        <w:p w14:paraId="155B9D69" w14:textId="77777777" w:rsidR="00991C66" w:rsidRPr="00C22D7F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(...)</w:t>
          </w:r>
        </w:p>
      </w:sdtContent>
    </w:sdt>
    <w:bookmarkEnd w:id="1"/>
    <w:p w14:paraId="76B28069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bookmarkEnd w:id="0"/>
    <w:p w14:paraId="38F52FFC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313EA97E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bookmarkStart w:id="2" w:name="_Hlk39155381"/>
      <w:r w:rsidRPr="00C22D7F">
        <w:rPr>
          <w:rFonts w:ascii="Century Gothic" w:eastAsia="SimSun" w:hAnsi="Century Gothic" w:cs="Mangal"/>
          <w:kern w:val="3"/>
          <w:lang w:eastAsia="zh-CN" w:bidi="hi-IN"/>
        </w:rPr>
        <w:t>2.2- Oficines adscrites a l’execució del contracte per a la distribució, en municipis de la Comunitat Autònoma de Catalunya amb població superior a 20.000 habitants (fins a 5 punts).</w:t>
      </w:r>
    </w:p>
    <w:sdt>
      <w:sdtPr>
        <w:rPr>
          <w:rFonts w:ascii="Century Gothic" w:eastAsia="SimSun" w:hAnsi="Century Gothic" w:cs="Mangal"/>
          <w:kern w:val="3"/>
          <w:lang w:eastAsia="zh-CN" w:bidi="hi-IN"/>
        </w:rPr>
        <w:id w:val="2092737156"/>
        <w:placeholder>
          <w:docPart w:val="DDAB97BE759D45D8BEC5FFB57724D60A"/>
        </w:placeholder>
      </w:sdtPr>
      <w:sdtContent>
        <w:p w14:paraId="4BF92389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 xml:space="preserve">1.- </w:t>
          </w:r>
        </w:p>
        <w:p w14:paraId="2FD513AA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2.-</w:t>
          </w:r>
        </w:p>
        <w:p w14:paraId="1C6032E2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3.-</w:t>
          </w:r>
        </w:p>
        <w:p w14:paraId="318CBE93" w14:textId="77777777" w:rsidR="00991C66" w:rsidRPr="00C22D7F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(...)</w:t>
          </w:r>
        </w:p>
      </w:sdtContent>
    </w:sdt>
    <w:p w14:paraId="7F77E943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363CA3B4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4F610DAD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59568528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bookmarkStart w:id="3" w:name="_Hlk39155450"/>
      <w:bookmarkEnd w:id="2"/>
      <w:r w:rsidRPr="00C22D7F">
        <w:rPr>
          <w:rFonts w:ascii="Century Gothic" w:eastAsia="SimSun" w:hAnsi="Century Gothic" w:cs="Mangal"/>
          <w:kern w:val="3"/>
          <w:lang w:eastAsia="zh-CN" w:bidi="hi-IN"/>
        </w:rPr>
        <w:t>2.3- Oficines adscrites a l’execució del contracte per a la distribució, en municipis d’Espanya amb població inferior a 20.000 habitants (fins a 10 punts).</w:t>
      </w:r>
    </w:p>
    <w:sdt>
      <w:sdtPr>
        <w:rPr>
          <w:rFonts w:ascii="Century Gothic" w:eastAsia="SimSun" w:hAnsi="Century Gothic" w:cs="Mangal"/>
          <w:kern w:val="3"/>
          <w:lang w:eastAsia="zh-CN" w:bidi="hi-IN"/>
        </w:rPr>
        <w:id w:val="-1581525786"/>
        <w:placeholder>
          <w:docPart w:val="A2412E6B4690401691480A3D9216C5B5"/>
        </w:placeholder>
      </w:sdtPr>
      <w:sdtContent>
        <w:p w14:paraId="673F2B2B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 xml:space="preserve">1.- </w:t>
          </w:r>
        </w:p>
        <w:p w14:paraId="7D67F014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2.-</w:t>
          </w:r>
        </w:p>
        <w:p w14:paraId="177218D8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3.-</w:t>
          </w:r>
        </w:p>
        <w:p w14:paraId="0F2FC766" w14:textId="77777777" w:rsidR="00991C66" w:rsidRPr="00C22D7F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(...)</w:t>
          </w:r>
        </w:p>
      </w:sdtContent>
    </w:sdt>
    <w:p w14:paraId="37015EFC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4AA5B599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5234966F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r w:rsidRPr="00C22D7F">
        <w:rPr>
          <w:rFonts w:ascii="Century Gothic" w:eastAsia="SimSun" w:hAnsi="Century Gothic" w:cs="Mangal"/>
          <w:kern w:val="3"/>
          <w:lang w:eastAsia="zh-CN" w:bidi="hi-IN"/>
        </w:rPr>
        <w:tab/>
        <w:t xml:space="preserve">                   </w:t>
      </w:r>
    </w:p>
    <w:bookmarkEnd w:id="3"/>
    <w:p w14:paraId="467BF0B9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1BCEBF3A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658ADBA0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r w:rsidRPr="00C22D7F">
        <w:rPr>
          <w:rFonts w:ascii="Century Gothic" w:eastAsia="SimSun" w:hAnsi="Century Gothic" w:cs="Mangal"/>
          <w:kern w:val="3"/>
          <w:lang w:eastAsia="zh-CN" w:bidi="hi-IN"/>
        </w:rPr>
        <w:t>2.4- Oficines adscrites a l’execució del contracte per a la distribució, en municipis d’Espanya amb població superior a 20.000 habitants (fins a 5 punts).</w:t>
      </w:r>
    </w:p>
    <w:sdt>
      <w:sdtPr>
        <w:rPr>
          <w:rFonts w:ascii="Century Gothic" w:eastAsia="SimSun" w:hAnsi="Century Gothic" w:cs="Mangal"/>
          <w:kern w:val="3"/>
          <w:lang w:eastAsia="zh-CN" w:bidi="hi-IN"/>
        </w:rPr>
        <w:id w:val="-2091926010"/>
        <w:placeholder>
          <w:docPart w:val="88C7E704BD8F46199857B6E3B6BDA14E"/>
        </w:placeholder>
      </w:sdtPr>
      <w:sdtContent>
        <w:p w14:paraId="1B1874E0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 xml:space="preserve">1.- </w:t>
          </w:r>
        </w:p>
        <w:p w14:paraId="1448707F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2.-</w:t>
          </w:r>
        </w:p>
        <w:p w14:paraId="3A1077AD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lastRenderedPageBreak/>
            <w:t>3.-</w:t>
          </w:r>
        </w:p>
        <w:p w14:paraId="24CC02E3" w14:textId="77777777" w:rsidR="00991C66" w:rsidRPr="00C22D7F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(...)</w:t>
          </w:r>
        </w:p>
      </w:sdtContent>
    </w:sdt>
    <w:p w14:paraId="41978C8A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6DF76E4F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kern w:val="3"/>
          <w:lang w:eastAsia="zh-CN" w:bidi="hi-IN"/>
        </w:rPr>
      </w:pPr>
      <w:r w:rsidRPr="00C22D7F">
        <w:rPr>
          <w:rFonts w:ascii="Century Gothic" w:eastAsia="SimSun" w:hAnsi="Century Gothic" w:cs="Mangal"/>
          <w:kern w:val="3"/>
          <w:lang w:eastAsia="zh-CN" w:bidi="hi-IN"/>
        </w:rPr>
        <w:tab/>
        <w:t xml:space="preserve">                   </w:t>
      </w:r>
    </w:p>
    <w:p w14:paraId="484FC748" w14:textId="7DD9B1C4" w:rsidR="00991C66" w:rsidRPr="00C22D7F" w:rsidRDefault="00991C66" w:rsidP="00991C66">
      <w:pPr>
        <w:spacing w:after="200" w:line="276" w:lineRule="auto"/>
        <w:rPr>
          <w:rFonts w:ascii="Century Gothic" w:hAnsi="Century Gothic"/>
        </w:rPr>
      </w:pPr>
      <w:r w:rsidRPr="00C22D7F">
        <w:rPr>
          <w:rFonts w:ascii="Century Gothic" w:hAnsi="Century Gothic"/>
        </w:rPr>
        <w:t xml:space="preserve">A </w:t>
      </w:r>
      <w:sdt>
        <w:sdtPr>
          <w:rPr>
            <w:rFonts w:ascii="Century Gothic" w:hAnsi="Century Gothic"/>
          </w:rPr>
          <w:id w:val="1249763723"/>
          <w:placeholder>
            <w:docPart w:val="CE30A6C099A94FAC92DB55CA186690DF"/>
          </w:placeholder>
          <w:showingPlcHdr/>
        </w:sdtPr>
        <w:sdtContent>
          <w:r w:rsidRPr="00C22D7F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C22D7F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-143280908"/>
          <w:placeholder>
            <w:docPart w:val="CE30A6C099A94FAC92DB55CA186690DF"/>
          </w:placeholder>
          <w:showingPlcHdr/>
        </w:sdtPr>
        <w:sdtContent>
          <w:r w:rsidRPr="00C22D7F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>
        <w:rPr>
          <w:rFonts w:ascii="Century Gothic" w:hAnsi="Century Gothic"/>
        </w:rPr>
        <w:t xml:space="preserve"> de 202</w:t>
      </w:r>
      <w:r>
        <w:rPr>
          <w:rFonts w:ascii="Century Gothic" w:hAnsi="Century Gothic"/>
        </w:rPr>
        <w:t>5</w:t>
      </w:r>
      <w:r w:rsidRPr="00C22D7F">
        <w:rPr>
          <w:rFonts w:ascii="Century Gothic" w:hAnsi="Century Gothic"/>
        </w:rPr>
        <w:t>.</w:t>
      </w:r>
    </w:p>
    <w:p w14:paraId="77449AEA" w14:textId="77777777" w:rsidR="004A6B11" w:rsidRPr="00A56728" w:rsidRDefault="004A6B11" w:rsidP="00991C6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4" w:name="_Hlk42840427"/>
    <w:bookmarkStart w:id="5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4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5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0"/>
  </w:num>
  <w:num w:numId="2" w16cid:durableId="1177619656">
    <w:abstractNumId w:val="6"/>
  </w:num>
  <w:num w:numId="3" w16cid:durableId="802583452">
    <w:abstractNumId w:val="16"/>
  </w:num>
  <w:num w:numId="4" w16cid:durableId="677543236">
    <w:abstractNumId w:val="2"/>
  </w:num>
  <w:num w:numId="5" w16cid:durableId="1172915428">
    <w:abstractNumId w:val="13"/>
  </w:num>
  <w:num w:numId="6" w16cid:durableId="232206886">
    <w:abstractNumId w:val="19"/>
  </w:num>
  <w:num w:numId="7" w16cid:durableId="688065036">
    <w:abstractNumId w:val="18"/>
  </w:num>
  <w:num w:numId="8" w16cid:durableId="1200817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1"/>
  </w:num>
  <w:num w:numId="10" w16cid:durableId="2017492494">
    <w:abstractNumId w:val="14"/>
  </w:num>
  <w:num w:numId="11" w16cid:durableId="1287465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8"/>
  </w:num>
  <w:num w:numId="13" w16cid:durableId="210578371">
    <w:abstractNumId w:val="5"/>
  </w:num>
  <w:num w:numId="14" w16cid:durableId="495613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9"/>
  </w:num>
  <w:num w:numId="16" w16cid:durableId="967583971">
    <w:abstractNumId w:val="15"/>
  </w:num>
  <w:num w:numId="17" w16cid:durableId="1544363774">
    <w:abstractNumId w:val="12"/>
  </w:num>
  <w:num w:numId="18" w16cid:durableId="1851025275">
    <w:abstractNumId w:val="4"/>
  </w:num>
  <w:num w:numId="19" w16cid:durableId="484975986">
    <w:abstractNumId w:val="1"/>
  </w:num>
  <w:num w:numId="20" w16cid:durableId="60496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A7D32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8C6017"/>
    <w:rsid w:val="0093743E"/>
    <w:rsid w:val="009467D7"/>
    <w:rsid w:val="00991C66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A6D9FAAEFE7F4E53AD05E6A8119AC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5B64-4291-4698-AEEC-96DFC977BEDE}"/>
      </w:docPartPr>
      <w:docPartBody>
        <w:p w:rsidR="00FA301E" w:rsidRDefault="00FA301E" w:rsidP="00FA301E">
          <w:pPr>
            <w:pStyle w:val="A6D9FAAEFE7F4E53AD05E6A8119AC5FF"/>
          </w:pPr>
          <w:r w:rsidRPr="00CA22C5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DAB97BE759D45D8BEC5FFB57724D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BA8D-B88D-4C2B-A042-FB1752F63C01}"/>
      </w:docPartPr>
      <w:docPartBody>
        <w:p w:rsidR="00FA301E" w:rsidRDefault="00FA301E" w:rsidP="00FA301E">
          <w:pPr>
            <w:pStyle w:val="DDAB97BE759D45D8BEC5FFB57724D60A"/>
          </w:pPr>
          <w:r w:rsidRPr="00CA22C5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A2412E6B4690401691480A3D9216C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32E9-54A8-4D7D-995D-796E730ED6E2}"/>
      </w:docPartPr>
      <w:docPartBody>
        <w:p w:rsidR="00FA301E" w:rsidRDefault="00FA301E" w:rsidP="00FA301E">
          <w:pPr>
            <w:pStyle w:val="A2412E6B4690401691480A3D9216C5B5"/>
          </w:pPr>
          <w:r w:rsidRPr="00CA22C5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8C7E704BD8F46199857B6E3B6BD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6FB5-A29D-4B52-87C1-E3D238B37E92}"/>
      </w:docPartPr>
      <w:docPartBody>
        <w:p w:rsidR="00FA301E" w:rsidRDefault="00FA301E" w:rsidP="00FA301E">
          <w:pPr>
            <w:pStyle w:val="88C7E704BD8F46199857B6E3B6BDA14E"/>
          </w:pPr>
          <w:r w:rsidRPr="00CA22C5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E30A6C099A94FAC92DB55CA1866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59EE3-C893-44B9-83F6-B8B7B7F002D5}"/>
      </w:docPartPr>
      <w:docPartBody>
        <w:p w:rsidR="00FA301E" w:rsidRDefault="00FA301E" w:rsidP="00FA301E">
          <w:pPr>
            <w:pStyle w:val="CE30A6C099A94FAC92DB55CA186690DF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8C6017"/>
    <w:rsid w:val="009467D7"/>
    <w:rsid w:val="00B244F5"/>
    <w:rsid w:val="00C71673"/>
    <w:rsid w:val="00E539FC"/>
    <w:rsid w:val="00F87FCC"/>
    <w:rsid w:val="00FA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A301E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  <w:style w:type="paragraph" w:customStyle="1" w:styleId="A6D9FAAEFE7F4E53AD05E6A8119AC5FF">
    <w:name w:val="A6D9FAAEFE7F4E53AD05E6A8119AC5FF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DDAB97BE759D45D8BEC5FFB57724D60A">
    <w:name w:val="DDAB97BE759D45D8BEC5FFB57724D60A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A2412E6B4690401691480A3D9216C5B5">
    <w:name w:val="A2412E6B4690401691480A3D9216C5B5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88C7E704BD8F46199857B6E3B6BDA14E">
    <w:name w:val="88C7E704BD8F46199857B6E3B6BDA14E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E30A6C099A94FAC92DB55CA186690DF">
    <w:name w:val="CE30A6C099A94FAC92DB55CA186690DF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4</cp:revision>
  <dcterms:created xsi:type="dcterms:W3CDTF">2025-07-18T11:14:00Z</dcterms:created>
  <dcterms:modified xsi:type="dcterms:W3CDTF">2025-11-19T10:43:00Z</dcterms:modified>
</cp:coreProperties>
</file>