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9"/>
        <w:rPr>
          <w:rFonts w:ascii="Times New Roman"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139" w:firstLine="2127"/>
      </w:pPr>
      <w:r>
        <w:rPr/>
        <w:t>, amb NIF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104" w:val="left" w:leader="none"/>
        </w:tabs>
        <w:ind w:left="142" w:right="137"/>
        <w:jc w:val="both"/>
      </w:pPr>
      <w:r>
        <w:rPr/>
        <w:t>, assabentat de l’anunci publicat en data</w:t>
        <w:tab/>
        <w:t>al perfil del contractant de l’Ajuntament de Sabadell i de les condicions i requisits que s’exigeixen per a l’adjudicació del contracte anomenat “PROJECTE D’INSTAL·LACIÓ FOTOVOLTAICA PER A AUTOCONSUM COL·LECTIU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MERCAT</w:t>
      </w:r>
      <w:r>
        <w:rPr>
          <w:spacing w:val="-11"/>
        </w:rPr>
        <w:t> </w:t>
      </w:r>
      <w:r>
        <w:rPr/>
        <w:t>DELS</w:t>
      </w:r>
      <w:r>
        <w:rPr>
          <w:spacing w:val="-11"/>
        </w:rPr>
        <w:t> </w:t>
      </w:r>
      <w:r>
        <w:rPr/>
        <w:t>MERINALS”,</w:t>
      </w:r>
      <w:r>
        <w:rPr>
          <w:spacing w:val="-11"/>
        </w:rPr>
        <w:t> </w:t>
      </w:r>
      <w:r>
        <w:rPr/>
        <w:t>FINANÇAT</w:t>
      </w:r>
      <w:r>
        <w:rPr>
          <w:spacing w:val="-11"/>
        </w:rPr>
        <w:t> </w:t>
      </w:r>
      <w:r>
        <w:rPr/>
        <w:t>AMB</w:t>
      </w:r>
      <w:r>
        <w:rPr>
          <w:spacing w:val="-11"/>
        </w:rPr>
        <w:t> </w:t>
      </w:r>
      <w:r>
        <w:rPr/>
        <w:t>FONS</w:t>
      </w:r>
      <w:r>
        <w:rPr>
          <w:spacing w:val="-12"/>
        </w:rPr>
        <w:t> </w:t>
      </w:r>
      <w:r>
        <w:rPr/>
        <w:t>NEXTGENERATION</w:t>
      </w:r>
      <w:r>
        <w:rPr>
          <w:spacing w:val="-12"/>
        </w:rPr>
        <w:t> </w:t>
      </w:r>
      <w:r>
        <w:rPr/>
        <w:t>DE LA UNIÓ EUROPEA.</w:t>
      </w:r>
    </w:p>
    <w:p>
      <w:pPr>
        <w:pStyle w:val="BodyText"/>
        <w:spacing w:before="230"/>
        <w:ind w:left="142" w:right="139"/>
        <w:jc w:val="both"/>
      </w:pPr>
      <w:r>
        <w:rPr/>
        <w:t>DECLARA que la societat a la qual representa, d’acord amb allò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  <w:spacing w:before="229"/>
      </w:pPr>
    </w:p>
    <w:p>
      <w:pPr>
        <w:pStyle w:val="BodyText"/>
        <w:spacing w:before="1"/>
        <w:ind w:left="1560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1043365</wp:posOffset>
            </wp:positionH>
            <wp:positionV relativeFrom="paragraph">
              <wp:posOffset>127431</wp:posOffset>
            </wp:positionV>
            <wp:extent cx="5367414" cy="26403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41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7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before="131"/>
        <w:ind w:left="0" w:right="139" w:firstLine="0"/>
        <w:jc w:val="right"/>
        <w:rPr>
          <w:sz w:val="16"/>
        </w:rPr>
      </w:pPr>
      <w:r>
        <w:rPr>
          <w:spacing w:val="-2"/>
          <w:sz w:val="16"/>
        </w:rPr>
        <w:t>48/68</w:t>
      </w:r>
    </w:p>
    <w:sectPr>
      <w:headerReference w:type="default" r:id="rId5"/>
      <w:type w:val="continuous"/>
      <w:pgSz w:w="11910" w:h="16840"/>
      <w:pgMar w:header="178" w:footer="0" w:top="2120" w:bottom="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5747185</wp:posOffset>
          </wp:positionH>
          <wp:positionV relativeFrom="page">
            <wp:posOffset>113180</wp:posOffset>
          </wp:positionV>
          <wp:extent cx="1254245" cy="6164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1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1067435</wp:posOffset>
              </wp:positionH>
              <wp:positionV relativeFrom="page">
                <wp:posOffset>905856</wp:posOffset>
              </wp:positionV>
              <wp:extent cx="5645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4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  <w:u w:val="single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71.327263pt;width:44.45pt;height:13.2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  <w:u w:val="single"/>
                      </w:rPr>
                      <w:t>ANNEX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  <w:u w:val="single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1067435</wp:posOffset>
              </wp:positionH>
              <wp:positionV relativeFrom="page">
                <wp:posOffset>1197930</wp:posOffset>
              </wp:positionV>
              <wp:extent cx="455231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523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COMPROMÍS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ADSCRIPCIÓ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MITJANS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MATERIALS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PERSONALS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50003pt;margin-top:94.325264pt;width:358.45pt;height:13.2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MODEL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COMPROMÍS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ADSCRIPCIÓ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MITJANS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MATERIALS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PERSONALS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15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44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301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01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hyperlink" Target="http://www.sabadell.cat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2025-11-13T11:04:45Z</dcterms:created>
  <dcterms:modified xsi:type="dcterms:W3CDTF">2025-11-13T11:04:45Z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